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3E" w:rsidRPr="008B4BC7" w:rsidRDefault="0098153E" w:rsidP="008B4BC7">
      <w:pPr>
        <w:rPr>
          <w:i/>
          <w:sz w:val="20"/>
        </w:rPr>
      </w:pPr>
      <w:r w:rsidRPr="008B4BC7">
        <w:rPr>
          <w:b/>
          <w:bCs/>
          <w:i/>
          <w:sz w:val="20"/>
        </w:rPr>
        <w:t xml:space="preserve">Note: [30 Apr 2016] - </w:t>
      </w:r>
      <w:r w:rsidRPr="008B4BC7">
        <w:rPr>
          <w:i/>
          <w:sz w:val="20"/>
        </w:rPr>
        <w:t xml:space="preserve">The following is a consolidation of Form 45-106F3. It incorporates the amendments to this document that came into effect on January 1, 2011 and April 30, 2016. This consolidation </w:t>
      </w:r>
      <w:proofErr w:type="gramStart"/>
      <w:r w:rsidRPr="008B4BC7">
        <w:rPr>
          <w:i/>
          <w:sz w:val="20"/>
        </w:rPr>
        <w:t>is provided</w:t>
      </w:r>
      <w:proofErr w:type="gramEnd"/>
      <w:r w:rsidRPr="008B4BC7">
        <w:rPr>
          <w:i/>
          <w:sz w:val="20"/>
        </w:rPr>
        <w:t xml:space="preserve"> for your convenience and should not be relied on as authoritative.</w:t>
      </w:r>
    </w:p>
    <w:p w:rsidR="008B4BC7" w:rsidRDefault="008B4BC7" w:rsidP="008B4BC7">
      <w:pPr>
        <w:rPr>
          <w:b/>
        </w:rPr>
      </w:pPr>
    </w:p>
    <w:p w:rsidR="00A17F6A" w:rsidRPr="00E8312C" w:rsidRDefault="00A17F6A" w:rsidP="008B4BC7">
      <w:pPr>
        <w:rPr>
          <w:b/>
        </w:rPr>
      </w:pPr>
    </w:p>
    <w:p w:rsidR="0098153E" w:rsidRPr="00D0061D" w:rsidRDefault="0053582D" w:rsidP="00A8789E">
      <w:pPr>
        <w:widowControl w:val="0"/>
        <w:jc w:val="center"/>
        <w:rPr>
          <w:b/>
          <w:bCs/>
          <w:caps/>
        </w:rPr>
      </w:pPr>
      <w:r w:rsidRPr="00D0061D">
        <w:rPr>
          <w:b/>
          <w:bCs/>
        </w:rPr>
        <w:t xml:space="preserve">Form </w:t>
      </w:r>
      <w:r w:rsidR="0098153E" w:rsidRPr="00D0061D">
        <w:rPr>
          <w:b/>
          <w:bCs/>
          <w:caps/>
        </w:rPr>
        <w:t>45-106F3</w:t>
      </w:r>
    </w:p>
    <w:p w:rsidR="0098153E" w:rsidRPr="00D0061D" w:rsidRDefault="0053582D" w:rsidP="00A8789E">
      <w:pPr>
        <w:widowControl w:val="0"/>
        <w:spacing w:after="240"/>
        <w:jc w:val="center"/>
        <w:rPr>
          <w:b/>
          <w:bCs/>
          <w:i/>
          <w:iCs/>
          <w:caps/>
        </w:rPr>
      </w:pPr>
      <w:r w:rsidRPr="00D0061D">
        <w:rPr>
          <w:b/>
          <w:bCs/>
          <w:i/>
          <w:iCs/>
        </w:rPr>
        <w:t xml:space="preserve">Offering Memorandum </w:t>
      </w:r>
      <w:r>
        <w:rPr>
          <w:b/>
          <w:bCs/>
          <w:i/>
          <w:iCs/>
        </w:rPr>
        <w:t>f</w:t>
      </w:r>
      <w:r w:rsidRPr="00D0061D">
        <w:rPr>
          <w:b/>
          <w:bCs/>
          <w:i/>
          <w:iCs/>
        </w:rPr>
        <w:t>or Qualifying Issuers</w:t>
      </w:r>
    </w:p>
    <w:p w:rsidR="0098153E" w:rsidRPr="00E8312C" w:rsidRDefault="0098153E" w:rsidP="00A8789E">
      <w:pPr>
        <w:widowControl w:val="0"/>
      </w:pPr>
      <w:r w:rsidRPr="00E8312C">
        <w:rPr>
          <w:b/>
        </w:rPr>
        <w:t>Date:</w:t>
      </w:r>
      <w:r w:rsidRPr="00E8312C">
        <w:t xml:space="preserve">  [Insert the date from the certificate page.]</w:t>
      </w:r>
    </w:p>
    <w:p w:rsidR="0098153E" w:rsidRPr="008B4BC7" w:rsidRDefault="0098153E" w:rsidP="008B4BC7">
      <w:pPr>
        <w:pStyle w:val="Title"/>
      </w:pPr>
      <w:r w:rsidRPr="008B4BC7">
        <w:t>The Issuer</w:t>
      </w:r>
    </w:p>
    <w:p w:rsidR="0098153E" w:rsidRPr="00E8312C" w:rsidRDefault="0098153E" w:rsidP="008B4BC7">
      <w:pPr>
        <w:spacing w:after="60"/>
      </w:pPr>
      <w:r w:rsidRPr="00E8312C">
        <w:t>Name:</w:t>
      </w:r>
    </w:p>
    <w:p w:rsidR="0098153E" w:rsidRPr="00E8312C" w:rsidRDefault="0098153E" w:rsidP="008B4BC7">
      <w:pPr>
        <w:tabs>
          <w:tab w:val="left" w:pos="1800"/>
        </w:tabs>
        <w:spacing w:after="60"/>
      </w:pPr>
      <w:r w:rsidRPr="00E8312C">
        <w:t>Head office:</w:t>
      </w:r>
      <w:r w:rsidRPr="00E8312C">
        <w:tab/>
        <w:t>Address:</w:t>
      </w:r>
    </w:p>
    <w:p w:rsidR="0098153E" w:rsidRPr="00E8312C" w:rsidRDefault="008B4BC7" w:rsidP="008B4BC7">
      <w:pPr>
        <w:tabs>
          <w:tab w:val="left" w:pos="1800"/>
        </w:tabs>
        <w:spacing w:after="60"/>
      </w:pPr>
      <w:r>
        <w:tab/>
      </w:r>
      <w:r w:rsidR="0098153E" w:rsidRPr="00E8312C">
        <w:t>Phone #:</w:t>
      </w:r>
    </w:p>
    <w:p w:rsidR="0098153E" w:rsidRPr="00E8312C" w:rsidRDefault="008B4BC7" w:rsidP="008B4BC7">
      <w:pPr>
        <w:tabs>
          <w:tab w:val="left" w:pos="1800"/>
        </w:tabs>
        <w:spacing w:after="60"/>
      </w:pPr>
      <w:r>
        <w:tab/>
      </w:r>
      <w:r w:rsidR="0098153E" w:rsidRPr="00E8312C">
        <w:t>E-mail address:</w:t>
      </w:r>
    </w:p>
    <w:p w:rsidR="0098153E" w:rsidRPr="00E8312C" w:rsidRDefault="008B4BC7" w:rsidP="008B4BC7">
      <w:pPr>
        <w:tabs>
          <w:tab w:val="left" w:pos="1800"/>
        </w:tabs>
        <w:spacing w:after="60"/>
      </w:pPr>
      <w:r>
        <w:tab/>
      </w:r>
      <w:r w:rsidR="0098153E" w:rsidRPr="00E8312C">
        <w:t>Fax #:</w:t>
      </w:r>
    </w:p>
    <w:p w:rsidR="0098153E" w:rsidRPr="00E8312C" w:rsidRDefault="0098153E" w:rsidP="008B4BC7">
      <w:pPr>
        <w:spacing w:after="60"/>
        <w:rPr>
          <w:lang w:val="fr-FR"/>
        </w:rPr>
      </w:pPr>
      <w:proofErr w:type="gramStart"/>
      <w:r w:rsidRPr="00E8312C">
        <w:t>Where currently listed or quoted?</w:t>
      </w:r>
      <w:proofErr w:type="gramEnd"/>
      <w:r w:rsidRPr="00E8312C">
        <w:t xml:space="preserve"> </w:t>
      </w:r>
      <w:r w:rsidRPr="00E8312C">
        <w:rPr>
          <w:lang w:val="fr-FR"/>
        </w:rPr>
        <w:t>[</w:t>
      </w:r>
      <w:proofErr w:type="gramStart"/>
      <w:r w:rsidRPr="00E8312C">
        <w:rPr>
          <w:lang w:val="fr-FR"/>
        </w:rPr>
        <w:t>e.g.,</w:t>
      </w:r>
      <w:proofErr w:type="gramEnd"/>
      <w:r w:rsidRPr="00E8312C">
        <w:rPr>
          <w:lang w:val="fr-FR"/>
        </w:rPr>
        <w:t xml:space="preserve"> TSX/TSX Venture Exchange]</w:t>
      </w:r>
    </w:p>
    <w:p w:rsidR="0098153E" w:rsidRPr="00E8312C" w:rsidRDefault="0098153E" w:rsidP="008B4BC7">
      <w:pPr>
        <w:spacing w:after="60"/>
      </w:pPr>
      <w:r w:rsidRPr="00E8312C">
        <w:t>Jurisdictions in which the issuer is a reporting issuer:</w:t>
      </w:r>
    </w:p>
    <w:p w:rsidR="0098153E" w:rsidRPr="00E8312C" w:rsidRDefault="0098153E" w:rsidP="008B4BC7">
      <w:pPr>
        <w:pStyle w:val="Title"/>
      </w:pPr>
      <w:r w:rsidRPr="00E8312C">
        <w:t>The Offering</w:t>
      </w:r>
    </w:p>
    <w:p w:rsidR="0098153E" w:rsidRPr="00E8312C" w:rsidRDefault="0098153E" w:rsidP="008B4BC7">
      <w:pPr>
        <w:spacing w:after="60"/>
      </w:pPr>
      <w:r w:rsidRPr="00E8312C">
        <w:t>Securities offered:</w:t>
      </w:r>
    </w:p>
    <w:p w:rsidR="0098153E" w:rsidRPr="00E8312C" w:rsidRDefault="0098153E" w:rsidP="008B4BC7">
      <w:pPr>
        <w:spacing w:after="60"/>
      </w:pPr>
      <w:r w:rsidRPr="00E8312C">
        <w:t>Price per security:</w:t>
      </w:r>
    </w:p>
    <w:p w:rsidR="0098153E" w:rsidRPr="00E8312C" w:rsidRDefault="0098153E" w:rsidP="008B4BC7">
      <w:pPr>
        <w:spacing w:after="60"/>
      </w:pPr>
      <w:r w:rsidRPr="00E8312C">
        <w:t xml:space="preserve">Minimum/Maximum offering: [If there is no minimum state in bold: </w:t>
      </w:r>
      <w:r>
        <w:t>“</w:t>
      </w:r>
      <w:r w:rsidRPr="008B4BC7">
        <w:rPr>
          <w:b/>
        </w:rPr>
        <w:t>There is no minimum.</w:t>
      </w:r>
      <w:r>
        <w:t>”</w:t>
      </w:r>
      <w:r w:rsidRPr="00E8312C">
        <w:t xml:space="preserve"> </w:t>
      </w:r>
      <w:proofErr w:type="gramStart"/>
      <w:r w:rsidRPr="00E8312C">
        <w:t>and also</w:t>
      </w:r>
      <w:proofErr w:type="gramEnd"/>
      <w:r w:rsidRPr="00E8312C">
        <w:t xml:space="preserve"> state in bold type: </w:t>
      </w:r>
      <w:r>
        <w:t>“</w:t>
      </w:r>
      <w:r w:rsidRPr="008B4BC7">
        <w:rPr>
          <w:b/>
        </w:rPr>
        <w:t>You may be the only purchaser.</w:t>
      </w:r>
      <w:r>
        <w:t>”</w:t>
      </w:r>
      <w:r w:rsidRPr="00E8312C">
        <w:t>]</w:t>
      </w:r>
    </w:p>
    <w:p w:rsidR="0098153E" w:rsidRPr="00E8312C" w:rsidRDefault="0098153E" w:rsidP="008B4BC7">
      <w:pPr>
        <w:spacing w:after="60"/>
      </w:pPr>
      <w:r w:rsidRPr="00E8312C">
        <w:t xml:space="preserve">State in bold type: </w:t>
      </w:r>
      <w:r w:rsidRPr="008B4BC7">
        <w:rPr>
          <w:b/>
        </w:rPr>
        <w:t>Funds available under the offering may not be sufficient to accomplish our proposed objectives.</w:t>
      </w:r>
    </w:p>
    <w:p w:rsidR="0098153E" w:rsidRPr="00E8312C" w:rsidRDefault="0098153E" w:rsidP="008B4BC7">
      <w:pPr>
        <w:spacing w:after="60"/>
      </w:pPr>
      <w:r w:rsidRPr="00E8312C">
        <w:t xml:space="preserve">Minimum subscription amount: [State the minimum amount each investor must invest, or </w:t>
      </w:r>
      <w:proofErr w:type="gramStart"/>
      <w:r w:rsidRPr="00E8312C">
        <w:t>state</w:t>
      </w:r>
      <w:proofErr w:type="gramEnd"/>
      <w:r w:rsidRPr="00E8312C">
        <w:t xml:space="preserve"> </w:t>
      </w:r>
      <w:r>
        <w:t>“</w:t>
      </w:r>
      <w:r w:rsidRPr="00E8312C">
        <w:t>There is no minimum subscription amount an investor must invest.</w:t>
      </w:r>
      <w:r>
        <w:t>”</w:t>
      </w:r>
      <w:r w:rsidRPr="00E8312C">
        <w:t>]</w:t>
      </w:r>
    </w:p>
    <w:p w:rsidR="0098153E" w:rsidRPr="00E8312C" w:rsidRDefault="0098153E" w:rsidP="008B4BC7">
      <w:pPr>
        <w:spacing w:after="60"/>
      </w:pPr>
      <w:r w:rsidRPr="00E8312C">
        <w:t>Payment terms:</w:t>
      </w:r>
    </w:p>
    <w:p w:rsidR="0098153E" w:rsidRPr="00E8312C" w:rsidRDefault="0098153E" w:rsidP="008B4BC7">
      <w:pPr>
        <w:spacing w:after="60"/>
      </w:pPr>
      <w:r w:rsidRPr="00E8312C">
        <w:t>Proposed closing date(s):</w:t>
      </w:r>
    </w:p>
    <w:p w:rsidR="0098153E" w:rsidRPr="00E8312C" w:rsidRDefault="0098153E" w:rsidP="008B4BC7">
      <w:pPr>
        <w:spacing w:after="60"/>
      </w:pPr>
      <w:r w:rsidRPr="00E8312C">
        <w:t xml:space="preserve">Income Tax consequences: </w:t>
      </w:r>
      <w:r>
        <w:t>“</w:t>
      </w:r>
      <w:r w:rsidRPr="00E8312C">
        <w:t>There are important tax consequences</w:t>
      </w:r>
      <w:r w:rsidR="008B722C">
        <w:t xml:space="preserve"> to these securities.  </w:t>
      </w:r>
      <w:proofErr w:type="gramStart"/>
      <w:r w:rsidR="008B722C">
        <w:t>See item </w:t>
      </w:r>
      <w:r w:rsidRPr="00E8312C">
        <w:t>6.</w:t>
      </w:r>
      <w:r>
        <w:t>”</w:t>
      </w:r>
      <w:proofErr w:type="gramEnd"/>
      <w:r w:rsidRPr="00E8312C">
        <w:t xml:space="preserve"> [If income tax consequences are not material, delete this item.]</w:t>
      </w:r>
    </w:p>
    <w:p w:rsidR="0098153E" w:rsidRPr="00E8312C" w:rsidRDefault="0098153E" w:rsidP="008B4BC7">
      <w:pPr>
        <w:spacing w:after="60"/>
      </w:pPr>
      <w:proofErr w:type="gramStart"/>
      <w:r w:rsidRPr="00E8312C">
        <w:t>Selling agent?</w:t>
      </w:r>
      <w:proofErr w:type="gramEnd"/>
      <w:r w:rsidRPr="00E8312C">
        <w:t xml:space="preserve"> </w:t>
      </w:r>
      <w:proofErr w:type="gramStart"/>
      <w:r w:rsidRPr="00E8312C">
        <w:t>[Yes/No.</w:t>
      </w:r>
      <w:proofErr w:type="gramEnd"/>
      <w:r w:rsidRPr="00E8312C">
        <w:t xml:space="preserve"> If yes, state </w:t>
      </w:r>
      <w:r>
        <w:t>“</w:t>
      </w:r>
      <w:r w:rsidRPr="00E8312C">
        <w:t>See item 7</w:t>
      </w:r>
      <w:r>
        <w:t>”</w:t>
      </w:r>
      <w:r w:rsidRPr="00E8312C">
        <w:t>. The name of the selling agent may also be stated.]</w:t>
      </w:r>
    </w:p>
    <w:p w:rsidR="0098153E" w:rsidRPr="00E8312C" w:rsidRDefault="0098153E" w:rsidP="008B4BC7">
      <w:pPr>
        <w:pStyle w:val="Title"/>
      </w:pPr>
      <w:r w:rsidRPr="00E8312C">
        <w:t>Resale restrictions</w:t>
      </w:r>
    </w:p>
    <w:p w:rsidR="0098153E" w:rsidRPr="00E8312C" w:rsidRDefault="0098153E" w:rsidP="008B4BC7">
      <w:r w:rsidRPr="00E8312C">
        <w:t xml:space="preserve">State: </w:t>
      </w:r>
      <w:r>
        <w:t>“</w:t>
      </w:r>
      <w:r w:rsidRPr="00E8312C">
        <w:t>You will be restricted from selling your securities for 4 months and a day. See item 10</w:t>
      </w:r>
      <w:r>
        <w:t>”</w:t>
      </w:r>
      <w:r w:rsidRPr="00E8312C">
        <w:t>.</w:t>
      </w:r>
    </w:p>
    <w:p w:rsidR="0098153E" w:rsidRPr="00E8312C" w:rsidRDefault="0098153E" w:rsidP="00A17F6A">
      <w:pPr>
        <w:pStyle w:val="Title"/>
        <w:keepNext/>
      </w:pPr>
      <w:r w:rsidRPr="00E8312C">
        <w:lastRenderedPageBreak/>
        <w:t>Purchaser</w:t>
      </w:r>
      <w:r>
        <w:t>’</w:t>
      </w:r>
      <w:r w:rsidRPr="00E8312C">
        <w:t>s rights</w:t>
      </w:r>
    </w:p>
    <w:p w:rsidR="0098153E" w:rsidRPr="00E8312C" w:rsidRDefault="0098153E" w:rsidP="00A17F6A">
      <w:pPr>
        <w:keepNext/>
        <w:spacing w:after="60"/>
      </w:pPr>
      <w:r w:rsidRPr="00E8312C">
        <w:t xml:space="preserve">State: </w:t>
      </w:r>
      <w:r>
        <w:t>“</w:t>
      </w:r>
      <w:r w:rsidRPr="00E8312C">
        <w:t xml:space="preserve">You have 2 business days to cancel your agreement to purchase these securities.  If there is a misrepresentation in this offering memorandum, you have the right </w:t>
      </w:r>
      <w:proofErr w:type="gramStart"/>
      <w:r w:rsidRPr="00E8312C">
        <w:t>to sue either</w:t>
      </w:r>
      <w:proofErr w:type="gramEnd"/>
      <w:r w:rsidRPr="00E8312C">
        <w:t xml:space="preserve"> for damages or to cancel the agreement.  </w:t>
      </w:r>
      <w:proofErr w:type="gramStart"/>
      <w:r w:rsidRPr="00E8312C">
        <w:t>See item 11.</w:t>
      </w:r>
      <w:r>
        <w:t>”</w:t>
      </w:r>
      <w:proofErr w:type="gramEnd"/>
    </w:p>
    <w:p w:rsidR="0098153E" w:rsidRPr="00E8312C" w:rsidRDefault="0098153E" w:rsidP="008B4BC7">
      <w:pPr>
        <w:spacing w:after="60"/>
      </w:pPr>
      <w:r w:rsidRPr="00E8312C">
        <w:t>State in bold type:</w:t>
      </w:r>
    </w:p>
    <w:p w:rsidR="0098153E" w:rsidRPr="00017033" w:rsidRDefault="0098153E" w:rsidP="00017033">
      <w:pPr>
        <w:pStyle w:val="IndentSingle"/>
        <w:rPr>
          <w:b/>
        </w:rPr>
      </w:pPr>
      <w:r w:rsidRPr="00017033">
        <w:rPr>
          <w:b/>
        </w:rPr>
        <w:t>“No securities regulatory authority or regulator has assessed the merits of these securities or reviewed this offering memorandum.  Any representation to the contrary is an offence.</w:t>
      </w:r>
      <w:r w:rsidR="00017033" w:rsidRPr="00017033">
        <w:rPr>
          <w:b/>
        </w:rPr>
        <w:t xml:space="preserve"> </w:t>
      </w:r>
      <w:r w:rsidRPr="00017033">
        <w:rPr>
          <w:b/>
        </w:rPr>
        <w:t xml:space="preserve">This is a risky investment.  </w:t>
      </w:r>
      <w:proofErr w:type="gramStart"/>
      <w:r w:rsidRPr="00017033">
        <w:rPr>
          <w:b/>
        </w:rPr>
        <w:t>See item 8.”</w:t>
      </w:r>
      <w:proofErr w:type="gramEnd"/>
    </w:p>
    <w:p w:rsidR="0098153E" w:rsidRPr="00E8312C" w:rsidRDefault="0098153E" w:rsidP="008B4BC7">
      <w:r w:rsidRPr="00E8312C">
        <w:t>[All of the above information must appear on a single cover page.]</w:t>
      </w:r>
    </w:p>
    <w:p w:rsidR="0098153E" w:rsidRDefault="0098153E" w:rsidP="003D3343">
      <w:pPr>
        <w:pStyle w:val="Heading1"/>
      </w:pPr>
      <w:r w:rsidRPr="00E8312C">
        <w:t>Use of Available Funds</w:t>
      </w:r>
    </w:p>
    <w:p w:rsidR="0098153E" w:rsidRPr="00E8312C" w:rsidRDefault="0098153E" w:rsidP="003D3343">
      <w:pPr>
        <w:pStyle w:val="Heading2"/>
      </w:pPr>
      <w:r w:rsidRPr="00E8312C">
        <w:rPr>
          <w:b/>
          <w:i/>
        </w:rPr>
        <w:t>Available Funds</w:t>
      </w:r>
      <w:r w:rsidRPr="00E8312C">
        <w:rPr>
          <w:b/>
        </w:rPr>
        <w:t xml:space="preserve"> </w:t>
      </w:r>
      <w:r w:rsidRPr="00E8312C">
        <w:t xml:space="preserve">- Using the following table, disclose the funds available </w:t>
      </w:r>
      <w:proofErr w:type="gramStart"/>
      <w:r w:rsidRPr="00E8312C">
        <w:t>as a result</w:t>
      </w:r>
      <w:proofErr w:type="gramEnd"/>
      <w:r w:rsidRPr="00E8312C">
        <w:t xml:space="preserve"> of the offering.  If the issuer plans to combine additional sources of funding with the available funds from the offering to achieve its principal capital-raising purpose, please provide details about each additional source of funding.  If there is no minimum offering, state </w:t>
      </w:r>
      <w:r>
        <w:t>“</w:t>
      </w:r>
      <w:r w:rsidRPr="00E8312C">
        <w:t>$0</w:t>
      </w:r>
      <w:r>
        <w:t>”</w:t>
      </w:r>
      <w:r w:rsidRPr="00E8312C">
        <w:t xml:space="preserve"> as the minimum.</w:t>
      </w:r>
    </w:p>
    <w:p w:rsidR="0098153E" w:rsidRPr="00E8312C" w:rsidRDefault="0098153E" w:rsidP="00A8789E">
      <w:pPr>
        <w:widowControl w:val="0"/>
        <w:spacing w:after="240"/>
        <w:outlineLvl w:val="1"/>
        <w:rPr>
          <w:bCs/>
          <w:iCs/>
        </w:rPr>
      </w:pPr>
      <w:r w:rsidRPr="00E8312C">
        <w:rPr>
          <w:bCs/>
          <w:iCs/>
        </w:rPr>
        <w:t xml:space="preserve">Disclose also the amount of any working capital deficiency, if any, of the issuer as at a date not more than 30 days prior to the date of the offering memorandum.  If the working capital deficiency </w:t>
      </w:r>
      <w:proofErr w:type="gramStart"/>
      <w:r w:rsidRPr="00E8312C">
        <w:rPr>
          <w:bCs/>
          <w:iCs/>
        </w:rPr>
        <w:t>will not be eliminated</w:t>
      </w:r>
      <w:proofErr w:type="gramEnd"/>
      <w:r w:rsidRPr="00E8312C">
        <w:rPr>
          <w:bCs/>
          <w:iCs/>
        </w:rPr>
        <w:t xml:space="preserve"> by the use of available funds, state how the issuer intends to eliminate or manage the deficiency.</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520"/>
        <w:gridCol w:w="4940"/>
        <w:gridCol w:w="1690"/>
        <w:gridCol w:w="1668"/>
      </w:tblGrid>
      <w:tr w:rsidR="0098153E" w:rsidRPr="00E8312C" w:rsidTr="008B4BC7">
        <w:trPr>
          <w:trHeight w:val="288"/>
        </w:trPr>
        <w:tc>
          <w:tcPr>
            <w:tcW w:w="520" w:type="dxa"/>
          </w:tcPr>
          <w:p w:rsidR="0098153E" w:rsidRPr="00E8312C" w:rsidRDefault="0098153E" w:rsidP="00CB17E8">
            <w:pPr>
              <w:widowControl w:val="0"/>
              <w:jc w:val="center"/>
            </w:pPr>
          </w:p>
        </w:tc>
        <w:tc>
          <w:tcPr>
            <w:tcW w:w="4940" w:type="dxa"/>
          </w:tcPr>
          <w:p w:rsidR="0098153E" w:rsidRPr="00E8312C" w:rsidRDefault="0098153E" w:rsidP="00CB17E8">
            <w:pPr>
              <w:widowControl w:val="0"/>
            </w:pPr>
          </w:p>
        </w:tc>
        <w:tc>
          <w:tcPr>
            <w:tcW w:w="1690" w:type="dxa"/>
          </w:tcPr>
          <w:p w:rsidR="0098153E" w:rsidRPr="00E8312C" w:rsidRDefault="0098153E" w:rsidP="00CB17E8">
            <w:pPr>
              <w:widowControl w:val="0"/>
            </w:pPr>
            <w:r w:rsidRPr="00E8312C">
              <w:t>Assuming min. offering</w:t>
            </w:r>
          </w:p>
        </w:tc>
        <w:tc>
          <w:tcPr>
            <w:tcW w:w="1668" w:type="dxa"/>
          </w:tcPr>
          <w:p w:rsidR="0098153E" w:rsidRPr="00E8312C" w:rsidRDefault="0098153E" w:rsidP="00CB17E8">
            <w:pPr>
              <w:widowControl w:val="0"/>
            </w:pPr>
            <w:proofErr w:type="gramStart"/>
            <w:r w:rsidRPr="00E8312C">
              <w:t>Assuming max.</w:t>
            </w:r>
            <w:proofErr w:type="gramEnd"/>
            <w:r w:rsidRPr="00E8312C">
              <w:t xml:space="preserve"> offering</w:t>
            </w:r>
          </w:p>
        </w:tc>
      </w:tr>
      <w:tr w:rsidR="0098153E" w:rsidRPr="00E8312C" w:rsidTr="008B4BC7">
        <w:trPr>
          <w:trHeight w:val="288"/>
        </w:trPr>
        <w:tc>
          <w:tcPr>
            <w:tcW w:w="520" w:type="dxa"/>
          </w:tcPr>
          <w:p w:rsidR="0098153E" w:rsidRPr="00E8312C" w:rsidRDefault="0098153E" w:rsidP="00CB17E8">
            <w:pPr>
              <w:widowControl w:val="0"/>
              <w:jc w:val="center"/>
            </w:pPr>
            <w:r w:rsidRPr="00E8312C">
              <w:t>A</w:t>
            </w:r>
          </w:p>
        </w:tc>
        <w:tc>
          <w:tcPr>
            <w:tcW w:w="4940" w:type="dxa"/>
          </w:tcPr>
          <w:p w:rsidR="0098153E" w:rsidRPr="00E8312C" w:rsidRDefault="0098153E" w:rsidP="00CB17E8">
            <w:pPr>
              <w:widowControl w:val="0"/>
            </w:pPr>
            <w:r w:rsidRPr="00E8312C">
              <w:t>Amount to be raised by this offering</w:t>
            </w: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r w:rsidR="0098153E" w:rsidRPr="00E8312C" w:rsidTr="008B4BC7">
        <w:trPr>
          <w:trHeight w:val="288"/>
        </w:trPr>
        <w:tc>
          <w:tcPr>
            <w:tcW w:w="520" w:type="dxa"/>
          </w:tcPr>
          <w:p w:rsidR="0098153E" w:rsidRPr="00E8312C" w:rsidRDefault="0098153E" w:rsidP="00CB17E8">
            <w:pPr>
              <w:widowControl w:val="0"/>
              <w:jc w:val="center"/>
            </w:pPr>
            <w:r w:rsidRPr="00E8312C">
              <w:t>B</w:t>
            </w:r>
          </w:p>
        </w:tc>
        <w:tc>
          <w:tcPr>
            <w:tcW w:w="4940" w:type="dxa"/>
          </w:tcPr>
          <w:p w:rsidR="0098153E" w:rsidRPr="00E8312C" w:rsidRDefault="0098153E" w:rsidP="00CB17E8">
            <w:pPr>
              <w:widowControl w:val="0"/>
            </w:pPr>
            <w:r w:rsidRPr="00E8312C">
              <w:t>Selling commissions and fees</w:t>
            </w: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r w:rsidR="0098153E" w:rsidRPr="00E8312C" w:rsidTr="008B4BC7">
        <w:trPr>
          <w:trHeight w:val="288"/>
        </w:trPr>
        <w:tc>
          <w:tcPr>
            <w:tcW w:w="520" w:type="dxa"/>
          </w:tcPr>
          <w:p w:rsidR="0098153E" w:rsidRPr="00E8312C" w:rsidRDefault="0098153E" w:rsidP="00CB17E8">
            <w:pPr>
              <w:widowControl w:val="0"/>
              <w:jc w:val="center"/>
            </w:pPr>
            <w:r w:rsidRPr="00E8312C">
              <w:t>C</w:t>
            </w:r>
          </w:p>
        </w:tc>
        <w:tc>
          <w:tcPr>
            <w:tcW w:w="4940" w:type="dxa"/>
          </w:tcPr>
          <w:p w:rsidR="0098153E" w:rsidRPr="00E8312C" w:rsidRDefault="0098153E" w:rsidP="00CB17E8">
            <w:pPr>
              <w:widowControl w:val="0"/>
            </w:pPr>
            <w:r w:rsidRPr="00E8312C">
              <w:t>Estimated offering costs (e.g., legal, accounting, audit)</w:t>
            </w: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r w:rsidR="0098153E" w:rsidRPr="00E8312C" w:rsidTr="008B4BC7">
        <w:trPr>
          <w:trHeight w:val="288"/>
        </w:trPr>
        <w:tc>
          <w:tcPr>
            <w:tcW w:w="520" w:type="dxa"/>
          </w:tcPr>
          <w:p w:rsidR="0098153E" w:rsidRPr="00E8312C" w:rsidRDefault="0098153E" w:rsidP="00CB17E8">
            <w:pPr>
              <w:widowControl w:val="0"/>
              <w:jc w:val="center"/>
            </w:pPr>
            <w:r w:rsidRPr="00E8312C">
              <w:t>D</w:t>
            </w:r>
          </w:p>
        </w:tc>
        <w:tc>
          <w:tcPr>
            <w:tcW w:w="4940" w:type="dxa"/>
          </w:tcPr>
          <w:p w:rsidR="0098153E" w:rsidRPr="00E8312C" w:rsidRDefault="0098153E" w:rsidP="00CB17E8">
            <w:pPr>
              <w:widowControl w:val="0"/>
            </w:pPr>
            <w:r w:rsidRPr="00E8312C">
              <w:t>Available funds: D = A - (B+C)</w:t>
            </w: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r w:rsidR="0098153E" w:rsidRPr="00E8312C" w:rsidTr="008B4BC7">
        <w:trPr>
          <w:trHeight w:val="288"/>
        </w:trPr>
        <w:tc>
          <w:tcPr>
            <w:tcW w:w="52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jc w:val="center"/>
            </w:pPr>
            <w:r w:rsidRPr="00E8312C">
              <w:t>E.</w:t>
            </w:r>
          </w:p>
        </w:tc>
        <w:tc>
          <w:tcPr>
            <w:tcW w:w="494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Additional sources of funding required</w:t>
            </w:r>
          </w:p>
        </w:tc>
        <w:tc>
          <w:tcPr>
            <w:tcW w:w="169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t>
            </w:r>
          </w:p>
        </w:tc>
        <w:tc>
          <w:tcPr>
            <w:tcW w:w="1668"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t>
            </w:r>
          </w:p>
        </w:tc>
      </w:tr>
      <w:tr w:rsidR="0098153E" w:rsidRPr="00E8312C" w:rsidTr="008B4BC7">
        <w:trPr>
          <w:trHeight w:val="288"/>
        </w:trPr>
        <w:tc>
          <w:tcPr>
            <w:tcW w:w="52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jc w:val="center"/>
            </w:pPr>
            <w:r w:rsidRPr="00E8312C">
              <w:t>F.</w:t>
            </w:r>
          </w:p>
        </w:tc>
        <w:tc>
          <w:tcPr>
            <w:tcW w:w="494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Working capital deficiency</w:t>
            </w:r>
          </w:p>
        </w:tc>
        <w:tc>
          <w:tcPr>
            <w:tcW w:w="169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t>
            </w:r>
          </w:p>
        </w:tc>
        <w:tc>
          <w:tcPr>
            <w:tcW w:w="1668"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t>
            </w:r>
          </w:p>
        </w:tc>
      </w:tr>
      <w:tr w:rsidR="0098153E" w:rsidRPr="00E8312C" w:rsidTr="008B4BC7">
        <w:trPr>
          <w:trHeight w:val="288"/>
        </w:trPr>
        <w:tc>
          <w:tcPr>
            <w:tcW w:w="52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jc w:val="center"/>
            </w:pPr>
            <w:r w:rsidRPr="00E8312C">
              <w:t>G.</w:t>
            </w:r>
          </w:p>
        </w:tc>
        <w:tc>
          <w:tcPr>
            <w:tcW w:w="4940" w:type="dxa"/>
            <w:tcBorders>
              <w:top w:val="single" w:sz="4" w:space="0" w:color="auto"/>
              <w:left w:val="single" w:sz="4" w:space="0" w:color="auto"/>
              <w:bottom w:val="single" w:sz="4" w:space="0" w:color="auto"/>
              <w:right w:val="single" w:sz="4" w:space="0" w:color="auto"/>
            </w:tcBorders>
          </w:tcPr>
          <w:p w:rsidR="0098153E" w:rsidRPr="00E8312C" w:rsidDel="00B82B16" w:rsidRDefault="0098153E" w:rsidP="00CB17E8">
            <w:pPr>
              <w:widowControl w:val="0"/>
            </w:pPr>
            <w:r w:rsidRPr="00E8312C">
              <w:t>Total: G = (D+E) - F</w:t>
            </w:r>
          </w:p>
        </w:tc>
        <w:tc>
          <w:tcPr>
            <w:tcW w:w="1690"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t>
            </w:r>
          </w:p>
        </w:tc>
        <w:tc>
          <w:tcPr>
            <w:tcW w:w="1668" w:type="dxa"/>
            <w:tcBorders>
              <w:top w:val="single" w:sz="4" w:space="0" w:color="auto"/>
              <w:left w:val="single" w:sz="4" w:space="0" w:color="auto"/>
              <w:bottom w:val="single" w:sz="4" w:space="0" w:color="auto"/>
              <w:right w:val="single" w:sz="4" w:space="0" w:color="auto"/>
            </w:tcBorders>
          </w:tcPr>
          <w:p w:rsidR="0098153E" w:rsidRPr="00E8312C" w:rsidRDefault="0098153E" w:rsidP="00CB17E8">
            <w:pPr>
              <w:widowControl w:val="0"/>
            </w:pPr>
            <w:r w:rsidRPr="00E8312C">
              <w:t>$</w:t>
            </w:r>
          </w:p>
        </w:tc>
      </w:tr>
    </w:tbl>
    <w:p w:rsidR="0098153E" w:rsidRDefault="0098153E" w:rsidP="00E12703">
      <w:pPr>
        <w:widowControl w:val="0"/>
        <w:spacing w:after="120"/>
      </w:pPr>
    </w:p>
    <w:p w:rsidR="0098153E" w:rsidRPr="00E8312C" w:rsidRDefault="0098153E" w:rsidP="003D3343">
      <w:pPr>
        <w:pStyle w:val="Heading2"/>
      </w:pPr>
      <w:proofErr w:type="gramStart"/>
      <w:r w:rsidRPr="00E8312C">
        <w:rPr>
          <w:b/>
          <w:i/>
        </w:rPr>
        <w:t>Use of Available Funds</w:t>
      </w:r>
      <w:r w:rsidRPr="00E8312C">
        <w:rPr>
          <w:b/>
        </w:rPr>
        <w:t xml:space="preserve"> </w:t>
      </w:r>
      <w:r w:rsidRPr="00E8312C">
        <w:t>- Using the following table, provide</w:t>
      </w:r>
      <w:proofErr w:type="gramEnd"/>
      <w:r w:rsidRPr="00E8312C">
        <w:t xml:space="preserve"> a detailed breakdown of how the issuer will use the available funds.  If any of the available funds </w:t>
      </w:r>
      <w:proofErr w:type="gramStart"/>
      <w:r w:rsidRPr="00E8312C">
        <w:t>will be paid</w:t>
      </w:r>
      <w:proofErr w:type="gramEnd"/>
      <w:r w:rsidRPr="00E8312C">
        <w:t xml:space="preserve"> to an insider, associate or affiliate of the issuer, disclose in a note to the table the name of the insider, associate or affiliate, the relationship to the issuer, and the amount.  If the issuer has a working capital deficiency, disclose the portion, if any, of the available funds to </w:t>
      </w:r>
      <w:proofErr w:type="gramStart"/>
      <w:r w:rsidRPr="00E8312C">
        <w:t>be applied</w:t>
      </w:r>
      <w:proofErr w:type="gramEnd"/>
      <w:r w:rsidRPr="00E8312C">
        <w:t xml:space="preserve"> against the working capital deficiency. If </w:t>
      </w:r>
      <w:proofErr w:type="gramStart"/>
      <w:r w:rsidRPr="00E8312C">
        <w:t>more than 10% of the available funds will be used by the issuer to pay debt</w:t>
      </w:r>
      <w:proofErr w:type="gramEnd"/>
      <w:r w:rsidRPr="00E8312C">
        <w:t xml:space="preserve"> and the issuer incurred the debt within the two preceding financial years, describe why the debt was incurred.</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5460"/>
        <w:gridCol w:w="1690"/>
        <w:gridCol w:w="1668"/>
      </w:tblGrid>
      <w:tr w:rsidR="0098153E" w:rsidRPr="00E8312C" w:rsidTr="00CB17E8">
        <w:trPr>
          <w:trHeight w:val="288"/>
        </w:trPr>
        <w:tc>
          <w:tcPr>
            <w:tcW w:w="5460" w:type="dxa"/>
          </w:tcPr>
          <w:p w:rsidR="0098153E" w:rsidRPr="00E8312C" w:rsidRDefault="0098153E" w:rsidP="00CB17E8">
            <w:pPr>
              <w:widowControl w:val="0"/>
            </w:pPr>
            <w:r w:rsidRPr="00E8312C">
              <w:lastRenderedPageBreak/>
              <w:t>Description of intended use of available funds listed in order of priority.</w:t>
            </w:r>
          </w:p>
        </w:tc>
        <w:tc>
          <w:tcPr>
            <w:tcW w:w="1690" w:type="dxa"/>
          </w:tcPr>
          <w:p w:rsidR="0098153E" w:rsidRPr="00E8312C" w:rsidRDefault="0098153E" w:rsidP="00CB17E8">
            <w:pPr>
              <w:widowControl w:val="0"/>
            </w:pPr>
            <w:r w:rsidRPr="00E8312C">
              <w:t>Assuming min. offering</w:t>
            </w:r>
          </w:p>
        </w:tc>
        <w:tc>
          <w:tcPr>
            <w:tcW w:w="1668" w:type="dxa"/>
          </w:tcPr>
          <w:p w:rsidR="0098153E" w:rsidRPr="00E8312C" w:rsidRDefault="0098153E" w:rsidP="00CB17E8">
            <w:pPr>
              <w:widowControl w:val="0"/>
            </w:pPr>
            <w:proofErr w:type="gramStart"/>
            <w:r w:rsidRPr="00E8312C">
              <w:t>Assuming max.</w:t>
            </w:r>
            <w:proofErr w:type="gramEnd"/>
            <w:r w:rsidRPr="00E8312C">
              <w:t xml:space="preserve"> offering</w:t>
            </w:r>
          </w:p>
        </w:tc>
      </w:tr>
      <w:tr w:rsidR="0098153E" w:rsidRPr="00E8312C" w:rsidTr="00CB17E8">
        <w:trPr>
          <w:trHeight w:val="288"/>
        </w:trPr>
        <w:tc>
          <w:tcPr>
            <w:tcW w:w="5460" w:type="dxa"/>
          </w:tcPr>
          <w:p w:rsidR="0098153E" w:rsidRPr="00E8312C" w:rsidRDefault="0098153E" w:rsidP="00CB17E8">
            <w:pPr>
              <w:widowControl w:val="0"/>
            </w:pP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r w:rsidR="0098153E" w:rsidRPr="00E8312C" w:rsidTr="00CB17E8">
        <w:trPr>
          <w:trHeight w:val="288"/>
        </w:trPr>
        <w:tc>
          <w:tcPr>
            <w:tcW w:w="5460" w:type="dxa"/>
          </w:tcPr>
          <w:p w:rsidR="0098153E" w:rsidRPr="00E8312C" w:rsidRDefault="0098153E" w:rsidP="00CB17E8">
            <w:pPr>
              <w:widowControl w:val="0"/>
            </w:pP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r w:rsidR="0098153E" w:rsidRPr="00E8312C" w:rsidTr="00CB17E8">
        <w:trPr>
          <w:trHeight w:val="288"/>
        </w:trPr>
        <w:tc>
          <w:tcPr>
            <w:tcW w:w="5460" w:type="dxa"/>
          </w:tcPr>
          <w:p w:rsidR="0098153E" w:rsidRPr="00E8312C" w:rsidRDefault="0098153E" w:rsidP="00CB17E8">
            <w:pPr>
              <w:widowControl w:val="0"/>
            </w:pPr>
            <w:r w:rsidRPr="00E8312C">
              <w:t>Total: Equal to G in the Funds table above</w:t>
            </w:r>
          </w:p>
        </w:tc>
        <w:tc>
          <w:tcPr>
            <w:tcW w:w="1690" w:type="dxa"/>
          </w:tcPr>
          <w:p w:rsidR="0098153E" w:rsidRPr="00E8312C" w:rsidRDefault="0098153E" w:rsidP="00CB17E8">
            <w:pPr>
              <w:widowControl w:val="0"/>
            </w:pPr>
            <w:r w:rsidRPr="00E8312C">
              <w:t>$</w:t>
            </w:r>
          </w:p>
        </w:tc>
        <w:tc>
          <w:tcPr>
            <w:tcW w:w="1668" w:type="dxa"/>
          </w:tcPr>
          <w:p w:rsidR="0098153E" w:rsidRPr="00E8312C" w:rsidRDefault="0098153E" w:rsidP="00CB17E8">
            <w:pPr>
              <w:widowControl w:val="0"/>
            </w:pPr>
            <w:r w:rsidRPr="00E8312C">
              <w:t>$</w:t>
            </w:r>
          </w:p>
        </w:tc>
      </w:tr>
    </w:tbl>
    <w:p w:rsidR="0098153E" w:rsidRPr="00E8312C" w:rsidRDefault="0098153E" w:rsidP="00A8789E">
      <w:pPr>
        <w:widowControl w:val="0"/>
      </w:pPr>
    </w:p>
    <w:p w:rsidR="0098153E" w:rsidRPr="00E8312C" w:rsidRDefault="0098153E" w:rsidP="003D3343">
      <w:pPr>
        <w:pStyle w:val="Heading2"/>
      </w:pPr>
      <w:r w:rsidRPr="00E8312C">
        <w:rPr>
          <w:b/>
          <w:i/>
        </w:rPr>
        <w:t>Reallocation</w:t>
      </w:r>
      <w:r w:rsidRPr="00E8312C">
        <w:rPr>
          <w:b/>
        </w:rPr>
        <w:t xml:space="preserve"> </w:t>
      </w:r>
      <w:r w:rsidRPr="00E8312C">
        <w:t xml:space="preserve">- The available funds </w:t>
      </w:r>
      <w:proofErr w:type="gramStart"/>
      <w:r w:rsidRPr="00E8312C">
        <w:t>must be used</w:t>
      </w:r>
      <w:proofErr w:type="gramEnd"/>
      <w:r w:rsidRPr="00E8312C">
        <w:t xml:space="preserve"> for the purposes disclosed in the offering memorandum.  The board of directors can reallocate the proceeds to other uses only for sound business reasons.  If the available funds </w:t>
      </w:r>
      <w:proofErr w:type="gramStart"/>
      <w:r w:rsidRPr="00E8312C">
        <w:t>may be reallocated</w:t>
      </w:r>
      <w:proofErr w:type="gramEnd"/>
      <w:r w:rsidRPr="00E8312C">
        <w:t>, include the following statement:</w:t>
      </w:r>
    </w:p>
    <w:p w:rsidR="0098153E" w:rsidRPr="00E8312C" w:rsidRDefault="0098153E" w:rsidP="003D3343">
      <w:pPr>
        <w:pStyle w:val="IndentDouble"/>
      </w:pPr>
      <w:r>
        <w:t>“</w:t>
      </w:r>
      <w:r w:rsidRPr="00E8312C">
        <w:t>We intend to spend the available funds as stated.  We will reallocate funds only for sound business reasons.</w:t>
      </w:r>
      <w:r>
        <w:t>”</w:t>
      </w:r>
    </w:p>
    <w:p w:rsidR="0098153E" w:rsidRPr="00E8312C" w:rsidRDefault="0098153E" w:rsidP="003D3343">
      <w:pPr>
        <w:pStyle w:val="Heading2"/>
      </w:pPr>
      <w:r w:rsidRPr="00E8312C">
        <w:rPr>
          <w:b/>
          <w:i/>
        </w:rPr>
        <w:t>Insufficient Funds</w:t>
      </w:r>
      <w:r w:rsidRPr="00E8312C">
        <w:rPr>
          <w:b/>
        </w:rPr>
        <w:t xml:space="preserve"> </w:t>
      </w:r>
      <w:r w:rsidRPr="00E8312C">
        <w:t xml:space="preserve">- If applicable, disclose that the funds available </w:t>
      </w:r>
      <w:proofErr w:type="gramStart"/>
      <w:r w:rsidRPr="00E8312C">
        <w:t>as a result</w:t>
      </w:r>
      <w:proofErr w:type="gramEnd"/>
      <w:r w:rsidRPr="00E8312C">
        <w:t xml:space="preserve"> of the offering either may not or will not be sufficient to accomplish all of the issuer</w:t>
      </w:r>
      <w:r>
        <w:t>’</w:t>
      </w:r>
      <w:r w:rsidRPr="00E8312C">
        <w:t xml:space="preserve">s proposed objectives and that there is no assurance that alternative financing will be available. If alternative financing </w:t>
      </w:r>
      <w:proofErr w:type="gramStart"/>
      <w:r w:rsidRPr="00E8312C">
        <w:t>has been arranged</w:t>
      </w:r>
      <w:proofErr w:type="gramEnd"/>
      <w:r w:rsidRPr="00E8312C">
        <w:t>, disclose the amount, source and any outstanding conditions that must be satisfied.</w:t>
      </w:r>
    </w:p>
    <w:p w:rsidR="0098153E" w:rsidRPr="00E12703" w:rsidRDefault="0098153E" w:rsidP="003D3343">
      <w:pPr>
        <w:pStyle w:val="Heading1"/>
        <w:rPr>
          <w:b w:val="0"/>
          <w:bCs/>
        </w:rPr>
      </w:pPr>
      <w:r w:rsidRPr="00E8312C">
        <w:rPr>
          <w:bCs/>
        </w:rPr>
        <w:t xml:space="preserve">Information About </w:t>
      </w:r>
      <w:r w:rsidRPr="00E12703">
        <w:t>[name of issuer or other term used to refer to issuer]</w:t>
      </w:r>
    </w:p>
    <w:p w:rsidR="0098153E" w:rsidRPr="00E8312C" w:rsidRDefault="0098153E" w:rsidP="003D3343">
      <w:pPr>
        <w:pStyle w:val="Heading2"/>
      </w:pPr>
      <w:r w:rsidRPr="00E8312C">
        <w:rPr>
          <w:b/>
          <w:i/>
        </w:rPr>
        <w:t>Business Summary</w:t>
      </w:r>
      <w:r w:rsidRPr="00E8312C">
        <w:rPr>
          <w:b/>
        </w:rPr>
        <w:t xml:space="preserve"> </w:t>
      </w:r>
      <w:r w:rsidRPr="00E8312C">
        <w:t xml:space="preserve">- </w:t>
      </w:r>
      <w:proofErr w:type="gramStart"/>
      <w:r w:rsidRPr="00E8312C">
        <w:t>Briefly</w:t>
      </w:r>
      <w:proofErr w:type="gramEnd"/>
      <w:r w:rsidRPr="00E8312C">
        <w:t xml:space="preserve"> (in one or two paragraphs) describe the business intended to be carried on by the issuer over the next 12 months.  State whether this represents a change of business.  The disclosure must provide sufficient information to enable a prospective purchaser to make an informed investment decision.  If the issuer is a non-resource issuer, describe the products that the issuer is or will be developing or producing and the stage of development of each of the products.  If the issuer is a resource issuer, </w:t>
      </w:r>
      <w:proofErr w:type="gramStart"/>
      <w:r w:rsidRPr="00E8312C">
        <w:t>state:</w:t>
      </w:r>
      <w:proofErr w:type="gramEnd"/>
      <w:r w:rsidRPr="00E8312C">
        <w:t xml:space="preserve"> whether the issuer</w:t>
      </w:r>
      <w:r>
        <w:t>’</w:t>
      </w:r>
      <w:r w:rsidRPr="00E8312C">
        <w:t>s principal properties are primarily in the exploration or in the development or production stage; what resources the issuer is engaged in exploring, developing or producing; and the locations of the issuer</w:t>
      </w:r>
      <w:r>
        <w:t>’</w:t>
      </w:r>
      <w:r w:rsidRPr="00E8312C">
        <w:t>s principal properties. A resource issuer who discloses information about its oil and gas activities must follow General Instruction A-9 of this Form.</w:t>
      </w:r>
    </w:p>
    <w:p w:rsidR="0098153E" w:rsidRPr="00E8312C" w:rsidRDefault="0098153E" w:rsidP="003D3343">
      <w:pPr>
        <w:pStyle w:val="Heading2"/>
        <w:rPr>
          <w:bCs/>
          <w:iCs/>
        </w:rPr>
      </w:pPr>
      <w:r w:rsidRPr="008B4BC7">
        <w:rPr>
          <w:b/>
          <w:i/>
        </w:rPr>
        <w:t>Existing Documents Incorporated by Reference</w:t>
      </w:r>
      <w:r w:rsidRPr="008B4BC7">
        <w:rPr>
          <w:b/>
          <w:i/>
          <w:iCs/>
        </w:rPr>
        <w:t xml:space="preserve"> </w:t>
      </w:r>
      <w:r w:rsidRPr="00E8312C">
        <w:rPr>
          <w:bCs/>
          <w:iCs/>
        </w:rPr>
        <w:t>- State:</w:t>
      </w:r>
    </w:p>
    <w:p w:rsidR="0098153E" w:rsidRPr="00E8312C" w:rsidRDefault="0098153E" w:rsidP="003D3343">
      <w:pPr>
        <w:pStyle w:val="IndentSingle"/>
      </w:pPr>
      <w:r>
        <w:t>“</w:t>
      </w:r>
      <w:r w:rsidRPr="00E8312C">
        <w:t xml:space="preserve">Information has been incorporated by reference into this offering memorandum from documents listed in the table below, which have been filed with securities regulatory authorities or regulators in Canada.  The documents incorporated by reference are available for viewing on the SEDAR website at </w:t>
      </w:r>
      <w:hyperlink r:id="rId8" w:history="1">
        <w:r w:rsidRPr="00E8312C">
          <w:rPr>
            <w:rStyle w:val="Hyperlink"/>
          </w:rPr>
          <w:t>www.sedar.com</w:t>
        </w:r>
      </w:hyperlink>
      <w:r w:rsidRPr="00E8312C">
        <w:t xml:space="preserve">.  In addition, copies of the documents </w:t>
      </w:r>
      <w:proofErr w:type="gramStart"/>
      <w:r w:rsidRPr="00E8312C">
        <w:t>may be obtained</w:t>
      </w:r>
      <w:proofErr w:type="gramEnd"/>
      <w:r w:rsidRPr="00E8312C">
        <w:t xml:space="preserve"> on request without charge from [insert complete address and telephone and the name of a contact person].</w:t>
      </w:r>
    </w:p>
    <w:p w:rsidR="0098153E" w:rsidRPr="00E8312C" w:rsidRDefault="0098153E" w:rsidP="003D3343">
      <w:pPr>
        <w:pStyle w:val="IndentSingle"/>
      </w:pPr>
      <w:r w:rsidRPr="00E8312C">
        <w:t xml:space="preserve">Documents listed in the table and information provided in those documents </w:t>
      </w:r>
      <w:proofErr w:type="gramStart"/>
      <w:r w:rsidRPr="00E8312C">
        <w:t>are</w:t>
      </w:r>
      <w:proofErr w:type="gramEnd"/>
      <w:r w:rsidRPr="00E8312C">
        <w:t xml:space="preserve"> not incorporated by reference to the extent that their contents are modified or superseded by a statement in this offering memorandum or in any other subsequently filed document that is also incorporated by reference in this offering memorandum.</w:t>
      </w:r>
      <w:r>
        <w:t>”</w:t>
      </w:r>
    </w:p>
    <w:p w:rsidR="0098153E" w:rsidRPr="00E8312C" w:rsidRDefault="0098153E" w:rsidP="00A17F6A">
      <w:pPr>
        <w:keepNext/>
      </w:pPr>
      <w:r w:rsidRPr="00E8312C">
        <w:lastRenderedPageBreak/>
        <w:t>Using the following table, list all of the documents incorporated by reference (as required by Instruction D.1):</w:t>
      </w:r>
    </w:p>
    <w:p w:rsidR="0098153E" w:rsidRPr="00E8312C" w:rsidRDefault="0098153E" w:rsidP="00E12703">
      <w:pPr>
        <w:keepNext/>
        <w:widowControl w:val="0"/>
        <w:ind w:left="720"/>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5590"/>
        <w:gridCol w:w="3228"/>
      </w:tblGrid>
      <w:tr w:rsidR="0098153E" w:rsidRPr="00E8312C" w:rsidTr="00CB17E8">
        <w:trPr>
          <w:trHeight w:val="288"/>
        </w:trPr>
        <w:tc>
          <w:tcPr>
            <w:tcW w:w="5590" w:type="dxa"/>
            <w:vAlign w:val="bottom"/>
          </w:tcPr>
          <w:p w:rsidR="0098153E" w:rsidRPr="00E8312C" w:rsidRDefault="0098153E" w:rsidP="00E12703">
            <w:pPr>
              <w:keepNext/>
              <w:widowControl w:val="0"/>
            </w:pPr>
            <w:r w:rsidRPr="00E8312C">
              <w:t>Description of document (In the case of material change reports, provide a brief description of the nature of the material change)</w:t>
            </w:r>
          </w:p>
        </w:tc>
        <w:tc>
          <w:tcPr>
            <w:tcW w:w="3228" w:type="dxa"/>
            <w:vAlign w:val="bottom"/>
          </w:tcPr>
          <w:p w:rsidR="0098153E" w:rsidRPr="00E8312C" w:rsidRDefault="0098153E" w:rsidP="00E12703">
            <w:pPr>
              <w:keepNext/>
              <w:widowControl w:val="0"/>
            </w:pPr>
            <w:r w:rsidRPr="00E8312C">
              <w:t>Date of document</w:t>
            </w:r>
          </w:p>
        </w:tc>
      </w:tr>
      <w:tr w:rsidR="0098153E" w:rsidRPr="00E8312C" w:rsidTr="00CB17E8">
        <w:trPr>
          <w:trHeight w:val="288"/>
        </w:trPr>
        <w:tc>
          <w:tcPr>
            <w:tcW w:w="5590" w:type="dxa"/>
          </w:tcPr>
          <w:p w:rsidR="0098153E" w:rsidRPr="00E8312C" w:rsidRDefault="0098153E" w:rsidP="00E12703">
            <w:pPr>
              <w:keepNext/>
              <w:widowControl w:val="0"/>
            </w:pPr>
          </w:p>
        </w:tc>
        <w:tc>
          <w:tcPr>
            <w:tcW w:w="3228" w:type="dxa"/>
          </w:tcPr>
          <w:p w:rsidR="0098153E" w:rsidRPr="00E8312C" w:rsidRDefault="0098153E" w:rsidP="00E12703">
            <w:pPr>
              <w:keepNext/>
              <w:widowControl w:val="0"/>
            </w:pPr>
          </w:p>
        </w:tc>
      </w:tr>
      <w:tr w:rsidR="0098153E" w:rsidRPr="00E8312C" w:rsidTr="00CB17E8">
        <w:trPr>
          <w:trHeight w:val="288"/>
        </w:trPr>
        <w:tc>
          <w:tcPr>
            <w:tcW w:w="5590" w:type="dxa"/>
          </w:tcPr>
          <w:p w:rsidR="0098153E" w:rsidRPr="00E8312C" w:rsidRDefault="0098153E" w:rsidP="00E12703">
            <w:pPr>
              <w:keepNext/>
              <w:widowControl w:val="0"/>
            </w:pPr>
          </w:p>
        </w:tc>
        <w:tc>
          <w:tcPr>
            <w:tcW w:w="3228" w:type="dxa"/>
          </w:tcPr>
          <w:p w:rsidR="0098153E" w:rsidRPr="00E8312C" w:rsidRDefault="0098153E" w:rsidP="00E12703">
            <w:pPr>
              <w:keepNext/>
              <w:widowControl w:val="0"/>
            </w:pPr>
          </w:p>
        </w:tc>
      </w:tr>
    </w:tbl>
    <w:p w:rsidR="0098153E" w:rsidRPr="00E8312C" w:rsidRDefault="0098153E" w:rsidP="00E12703">
      <w:pPr>
        <w:keepNext/>
        <w:widowControl w:val="0"/>
      </w:pPr>
    </w:p>
    <w:p w:rsidR="0098153E" w:rsidRPr="00E8312C" w:rsidRDefault="0098153E" w:rsidP="00E12703">
      <w:pPr>
        <w:pStyle w:val="Heading2"/>
        <w:keepNext/>
        <w:rPr>
          <w:bCs/>
          <w:iCs/>
        </w:rPr>
      </w:pPr>
      <w:r w:rsidRPr="00E12703">
        <w:rPr>
          <w:b/>
          <w:i/>
        </w:rPr>
        <w:t>Existing Documents Not Incorporated by Reference</w:t>
      </w:r>
      <w:r w:rsidRPr="00E8312C">
        <w:rPr>
          <w:iCs/>
        </w:rPr>
        <w:t xml:space="preserve"> </w:t>
      </w:r>
      <w:r w:rsidRPr="00E8312C">
        <w:rPr>
          <w:bCs/>
          <w:iCs/>
        </w:rPr>
        <w:t>- State:</w:t>
      </w:r>
    </w:p>
    <w:p w:rsidR="0098153E" w:rsidRPr="00E8312C" w:rsidRDefault="0098153E" w:rsidP="003D3343">
      <w:pPr>
        <w:pStyle w:val="IndentSingle"/>
      </w:pPr>
      <w:r>
        <w:t>“</w:t>
      </w:r>
      <w:r w:rsidRPr="00E8312C">
        <w:t>Other documents available on the SEDAR website (for example, most press releases, take-over bid circulars, prospectuses and rights offering circulars) are not incorporated by reference into this offering memorandum unless they are specifically referenced in the table above. Your rights as described in item 11 of this offering memorandum apply only in respect of information contained in this offering memorandum and documents or information incorporated by reference.</w:t>
      </w:r>
      <w:r>
        <w:t>”</w:t>
      </w:r>
    </w:p>
    <w:p w:rsidR="0098153E" w:rsidRPr="00E8312C" w:rsidRDefault="0098153E" w:rsidP="003D3343">
      <w:pPr>
        <w:pStyle w:val="Heading2"/>
      </w:pPr>
      <w:r w:rsidRPr="00E8312C">
        <w:rPr>
          <w:b/>
          <w:i/>
        </w:rPr>
        <w:t xml:space="preserve">Existing Information Not Incorporated by Reference </w:t>
      </w:r>
      <w:r w:rsidRPr="00E8312C">
        <w:t>- Certain specified information (as outlined in Instruction D.2) contained in the documents incorporated by reference may be, but is not required to be, incorporated by reference into the offering memorandum.  If the issuer does not wish to incorporate that information into the offering memorandum, the issuer must state that and include a statement in the offering memorandum identifying:</w:t>
      </w:r>
    </w:p>
    <w:p w:rsidR="0098153E" w:rsidRPr="00E8312C" w:rsidRDefault="0098153E" w:rsidP="003D3343">
      <w:pPr>
        <w:pStyle w:val="Heading4"/>
        <w:rPr>
          <w:lang w:val="en-US"/>
        </w:rPr>
      </w:pPr>
      <w:proofErr w:type="gramStart"/>
      <w:r w:rsidRPr="00E8312C">
        <w:rPr>
          <w:lang w:val="en-US"/>
        </w:rPr>
        <w:t>the</w:t>
      </w:r>
      <w:proofErr w:type="gramEnd"/>
      <w:r w:rsidRPr="00E8312C">
        <w:rPr>
          <w:lang w:val="en-US"/>
        </w:rPr>
        <w:t xml:space="preserve"> information that is not being incorporated by reference, and</w:t>
      </w:r>
    </w:p>
    <w:p w:rsidR="0098153E" w:rsidRPr="00E8312C" w:rsidRDefault="0098153E" w:rsidP="003D3343">
      <w:pPr>
        <w:pStyle w:val="Heading4"/>
        <w:rPr>
          <w:lang w:val="en-US"/>
        </w:rPr>
      </w:pPr>
      <w:proofErr w:type="gramStart"/>
      <w:r w:rsidRPr="00E8312C">
        <w:rPr>
          <w:lang w:val="en-US"/>
        </w:rPr>
        <w:t>the</w:t>
      </w:r>
      <w:proofErr w:type="gramEnd"/>
      <w:r w:rsidRPr="00E8312C">
        <w:rPr>
          <w:lang w:val="en-US"/>
        </w:rPr>
        <w:t xml:space="preserve"> document in which the information is contained.</w:t>
      </w:r>
    </w:p>
    <w:p w:rsidR="0098153E" w:rsidRPr="00E8312C" w:rsidRDefault="0098153E" w:rsidP="003D3343">
      <w:pPr>
        <w:pStyle w:val="Heading2"/>
        <w:rPr>
          <w:bCs/>
          <w:iCs/>
        </w:rPr>
      </w:pPr>
      <w:r w:rsidRPr="00E12703">
        <w:rPr>
          <w:b/>
          <w:i/>
        </w:rPr>
        <w:t>Future Documents Not Incorporated by Reference</w:t>
      </w:r>
      <w:r w:rsidRPr="00E8312C">
        <w:rPr>
          <w:iCs/>
        </w:rPr>
        <w:t xml:space="preserve"> </w:t>
      </w:r>
      <w:r w:rsidRPr="00E8312C">
        <w:rPr>
          <w:bCs/>
          <w:iCs/>
        </w:rPr>
        <w:t>- State:</w:t>
      </w:r>
    </w:p>
    <w:p w:rsidR="0098153E" w:rsidRPr="00E8312C" w:rsidRDefault="0098153E" w:rsidP="003D3343">
      <w:pPr>
        <w:pStyle w:val="IndentSingle"/>
      </w:pPr>
      <w:r>
        <w:t>“</w:t>
      </w:r>
      <w:r w:rsidRPr="00E8312C">
        <w:t xml:space="preserve">Documents filed after the date of this offering memorandum are not deemed to be incorporated into this offering memorandum.  </w:t>
      </w:r>
      <w:proofErr w:type="gramStart"/>
      <w:r w:rsidRPr="00E8312C">
        <w:t>However, if you subscribe for securities and an event occurs, or there is a change in our business or affairs, that makes the certificate to this offering memorandum no longer true, we will provide you with an update of this offering memorandum, including a newly dated and signed certificate, and will not accept your subscription until you have re-signed the agreement to purchase the securities.</w:t>
      </w:r>
      <w:r>
        <w:t>”</w:t>
      </w:r>
      <w:proofErr w:type="gramEnd"/>
    </w:p>
    <w:p w:rsidR="0098153E" w:rsidRPr="00E8312C" w:rsidRDefault="0098153E" w:rsidP="003D3343">
      <w:pPr>
        <w:pStyle w:val="Heading1"/>
      </w:pPr>
      <w:r w:rsidRPr="00E8312C">
        <w:t>Interests of Directors, Executive Officers, Promoters and Principal Holders</w:t>
      </w:r>
    </w:p>
    <w:p w:rsidR="0098153E" w:rsidRPr="00E8312C" w:rsidRDefault="0098153E" w:rsidP="003D3343">
      <w:pPr>
        <w:pStyle w:val="Heading2"/>
      </w:pPr>
      <w:r w:rsidRPr="00E8312C">
        <w:t xml:space="preserve">Using the following table, provide information about each director, executive officer, promoter and each person who, directly or indirectly, beneficially owns or controls 10% or more of any class of voting securities of the issuer (a </w:t>
      </w:r>
      <w:r>
        <w:t>“</w:t>
      </w:r>
      <w:r w:rsidRPr="00E8312C">
        <w:t>principal holder</w:t>
      </w:r>
      <w:r>
        <w:t>”</w:t>
      </w:r>
      <w:r w:rsidRPr="00E8312C">
        <w:t>).  If the principal holder is not an individual, state in a note to the table the name of any person or company that, directly or indirectly, beneficially owns or controls more than 50% of the voting rights of the principal holder.</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5200"/>
        <w:gridCol w:w="3618"/>
      </w:tblGrid>
      <w:tr w:rsidR="0098153E" w:rsidRPr="00E8312C" w:rsidTr="00CB17E8">
        <w:trPr>
          <w:trHeight w:val="288"/>
        </w:trPr>
        <w:tc>
          <w:tcPr>
            <w:tcW w:w="5200" w:type="dxa"/>
          </w:tcPr>
          <w:p w:rsidR="0098153E" w:rsidRPr="00E8312C" w:rsidRDefault="0098153E" w:rsidP="00CB17E8">
            <w:pPr>
              <w:widowControl w:val="0"/>
            </w:pPr>
            <w:r w:rsidRPr="00E8312C">
              <w:lastRenderedPageBreak/>
              <w:t>Name and municipality of principal residence</w:t>
            </w:r>
          </w:p>
        </w:tc>
        <w:tc>
          <w:tcPr>
            <w:tcW w:w="3618" w:type="dxa"/>
          </w:tcPr>
          <w:p w:rsidR="0098153E" w:rsidRPr="00E8312C" w:rsidRDefault="0098153E" w:rsidP="00CB17E8">
            <w:pPr>
              <w:widowControl w:val="0"/>
            </w:pPr>
            <w:r w:rsidRPr="00E8312C">
              <w:t>Position(s) with the issuer</w:t>
            </w:r>
          </w:p>
        </w:tc>
      </w:tr>
      <w:tr w:rsidR="0098153E" w:rsidRPr="00E8312C" w:rsidTr="00CB17E8">
        <w:trPr>
          <w:trHeight w:val="288"/>
        </w:trPr>
        <w:tc>
          <w:tcPr>
            <w:tcW w:w="5200" w:type="dxa"/>
          </w:tcPr>
          <w:p w:rsidR="0098153E" w:rsidRPr="00E8312C" w:rsidRDefault="0098153E" w:rsidP="00CB17E8">
            <w:pPr>
              <w:widowControl w:val="0"/>
            </w:pPr>
          </w:p>
        </w:tc>
        <w:tc>
          <w:tcPr>
            <w:tcW w:w="3618" w:type="dxa"/>
          </w:tcPr>
          <w:p w:rsidR="0098153E" w:rsidRPr="00E8312C" w:rsidRDefault="0098153E" w:rsidP="00CB17E8">
            <w:pPr>
              <w:widowControl w:val="0"/>
            </w:pPr>
          </w:p>
        </w:tc>
      </w:tr>
      <w:tr w:rsidR="0098153E" w:rsidRPr="00E8312C" w:rsidTr="00CB17E8">
        <w:trPr>
          <w:trHeight w:val="288"/>
        </w:trPr>
        <w:tc>
          <w:tcPr>
            <w:tcW w:w="5200" w:type="dxa"/>
          </w:tcPr>
          <w:p w:rsidR="0098153E" w:rsidRPr="00E8312C" w:rsidRDefault="0098153E" w:rsidP="00CB17E8">
            <w:pPr>
              <w:widowControl w:val="0"/>
            </w:pPr>
          </w:p>
        </w:tc>
        <w:tc>
          <w:tcPr>
            <w:tcW w:w="3618" w:type="dxa"/>
          </w:tcPr>
          <w:p w:rsidR="0098153E" w:rsidRPr="00E8312C" w:rsidRDefault="0098153E" w:rsidP="00CB17E8">
            <w:pPr>
              <w:widowControl w:val="0"/>
            </w:pPr>
          </w:p>
        </w:tc>
      </w:tr>
    </w:tbl>
    <w:p w:rsidR="0098153E" w:rsidRPr="00E8312C" w:rsidRDefault="0098153E" w:rsidP="00A8789E">
      <w:pPr>
        <w:widowControl w:val="0"/>
      </w:pPr>
    </w:p>
    <w:p w:rsidR="0098153E" w:rsidRPr="00E8312C" w:rsidRDefault="0098153E" w:rsidP="003D3343">
      <w:pPr>
        <w:pStyle w:val="Heading2"/>
      </w:pPr>
      <w:r w:rsidRPr="00E8312C">
        <w:t xml:space="preserve">State: </w:t>
      </w:r>
      <w:r>
        <w:t>“</w:t>
      </w:r>
      <w:r w:rsidRPr="00E8312C">
        <w:t>You can obtain further information about directors and executive officers from [insert the name and date of the document(s) with the most current information, e.g., management information circular, annual information form or material change report].</w:t>
      </w:r>
      <w:r>
        <w:t>”</w:t>
      </w:r>
    </w:p>
    <w:p w:rsidR="0098153E" w:rsidRPr="00E8312C" w:rsidRDefault="0098153E" w:rsidP="003D3343">
      <w:pPr>
        <w:pStyle w:val="Heading2"/>
      </w:pPr>
      <w:r w:rsidRPr="00E8312C">
        <w:t xml:space="preserve">State: </w:t>
      </w:r>
      <w:r>
        <w:t>“</w:t>
      </w:r>
      <w:r w:rsidRPr="00E8312C">
        <w:t>Current information regarding the securities held by directors, executive officers and principal holders can be obtained from [refer to the SEDI website at www.sedi.ca or, if information cannot be obtained from the SEDI website, refer to the securities regulatory authority(ies) or regulator(s) from which the information can be obtained, including any website(s)].  [Name of issuer or other term used to refer to issuer] can not guarantee the accuracy of this information.</w:t>
      </w:r>
      <w:r>
        <w:t>”</w:t>
      </w:r>
    </w:p>
    <w:p w:rsidR="0098153E" w:rsidRPr="00E8312C" w:rsidRDefault="0098153E" w:rsidP="003D3343">
      <w:pPr>
        <w:pStyle w:val="Heading2"/>
        <w:rPr>
          <w:bCs/>
          <w:iCs/>
        </w:rPr>
      </w:pPr>
      <w:r w:rsidRPr="00E8312C">
        <w:rPr>
          <w:b/>
          <w:i/>
        </w:rPr>
        <w:t>Loans</w:t>
      </w:r>
      <w:r w:rsidRPr="00E8312C">
        <w:t xml:space="preserve"> - Disclose the principal amount of any debenture or loan, the repayment terms, security, due date and interest rate due to or from the directors, management, promoters and principal holders as at a date not more than 30 days prior to the date of the offering memorandum.</w:t>
      </w:r>
    </w:p>
    <w:p w:rsidR="0098153E" w:rsidRPr="00E8312C" w:rsidRDefault="0098153E" w:rsidP="003D3343">
      <w:pPr>
        <w:pStyle w:val="Heading1"/>
      </w:pPr>
      <w:r w:rsidRPr="00E8312C">
        <w:t>Capital Structure</w:t>
      </w:r>
    </w:p>
    <w:p w:rsidR="0098153E" w:rsidRPr="00E8312C" w:rsidRDefault="0098153E" w:rsidP="00A8789E">
      <w:pPr>
        <w:widowControl w:val="0"/>
      </w:pPr>
      <w:r w:rsidRPr="00E8312C">
        <w:t xml:space="preserve">Using the following table, provide the required information about outstanding securities of the issuer (including options, warrants and other securities convertible into shares).  If necessary, notes to the table </w:t>
      </w:r>
      <w:proofErr w:type="gramStart"/>
      <w:r w:rsidRPr="00E8312C">
        <w:t>may be added</w:t>
      </w:r>
      <w:proofErr w:type="gramEnd"/>
      <w:r w:rsidRPr="00E8312C">
        <w:t xml:space="preserve"> to describe the material terms of the securities.</w:t>
      </w:r>
    </w:p>
    <w:p w:rsidR="0098153E" w:rsidRPr="00E8312C" w:rsidRDefault="0098153E" w:rsidP="00A8789E">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1652"/>
        <w:gridCol w:w="1617"/>
        <w:gridCol w:w="1294"/>
        <w:gridCol w:w="1722"/>
        <w:gridCol w:w="1652"/>
        <w:gridCol w:w="1653"/>
      </w:tblGrid>
      <w:tr w:rsidR="0098153E" w:rsidRPr="00E8312C" w:rsidTr="00965125">
        <w:trPr>
          <w:cantSplit/>
          <w:trHeight w:val="288"/>
        </w:trPr>
        <w:tc>
          <w:tcPr>
            <w:tcW w:w="1652" w:type="dxa"/>
            <w:vAlign w:val="bottom"/>
          </w:tcPr>
          <w:p w:rsidR="0098153E" w:rsidRPr="00E8312C" w:rsidRDefault="0098153E" w:rsidP="00CB17E8">
            <w:pPr>
              <w:widowControl w:val="0"/>
            </w:pPr>
            <w:r w:rsidRPr="00E8312C">
              <w:t>Description of security</w:t>
            </w:r>
          </w:p>
        </w:tc>
        <w:tc>
          <w:tcPr>
            <w:tcW w:w="1617" w:type="dxa"/>
            <w:vAlign w:val="bottom"/>
          </w:tcPr>
          <w:p w:rsidR="0098153E" w:rsidRPr="00E8312C" w:rsidRDefault="0098153E" w:rsidP="00CB17E8">
            <w:pPr>
              <w:widowControl w:val="0"/>
            </w:pPr>
            <w:r w:rsidRPr="00E8312C">
              <w:t>Number authorized to be issued</w:t>
            </w:r>
          </w:p>
        </w:tc>
        <w:tc>
          <w:tcPr>
            <w:tcW w:w="1294" w:type="dxa"/>
            <w:vAlign w:val="bottom"/>
          </w:tcPr>
          <w:p w:rsidR="0098153E" w:rsidRPr="00E8312C" w:rsidRDefault="0098153E" w:rsidP="00965125">
            <w:pPr>
              <w:widowControl w:val="0"/>
            </w:pPr>
            <w:r w:rsidRPr="00E8312C">
              <w:t>Price per security</w:t>
            </w:r>
          </w:p>
        </w:tc>
        <w:tc>
          <w:tcPr>
            <w:tcW w:w="1722" w:type="dxa"/>
            <w:vAlign w:val="bottom"/>
          </w:tcPr>
          <w:p w:rsidR="0098153E" w:rsidRPr="00E8312C" w:rsidRDefault="0098153E" w:rsidP="00CB17E8">
            <w:pPr>
              <w:widowControl w:val="0"/>
            </w:pPr>
            <w:r w:rsidRPr="00E8312C">
              <w:t>Number outstanding as at</w:t>
            </w:r>
            <w:r w:rsidRPr="00E8312C">
              <w:br/>
              <w:t>[a date not more than 30 days prior to the offering memorandum date]</w:t>
            </w:r>
          </w:p>
        </w:tc>
        <w:tc>
          <w:tcPr>
            <w:tcW w:w="1652" w:type="dxa"/>
            <w:vAlign w:val="bottom"/>
          </w:tcPr>
          <w:p w:rsidR="0098153E" w:rsidRPr="00E8312C" w:rsidRDefault="0098153E" w:rsidP="00CB17E8">
            <w:pPr>
              <w:widowControl w:val="0"/>
            </w:pPr>
            <w:r w:rsidRPr="00E8312C">
              <w:t>Number outstanding after min. offering</w:t>
            </w:r>
          </w:p>
        </w:tc>
        <w:tc>
          <w:tcPr>
            <w:tcW w:w="1653" w:type="dxa"/>
            <w:vAlign w:val="bottom"/>
          </w:tcPr>
          <w:p w:rsidR="0098153E" w:rsidRPr="00E8312C" w:rsidRDefault="0098153E" w:rsidP="00CB17E8">
            <w:pPr>
              <w:widowControl w:val="0"/>
            </w:pPr>
            <w:proofErr w:type="gramStart"/>
            <w:r w:rsidRPr="00E8312C">
              <w:t>Number outstanding after max.</w:t>
            </w:r>
            <w:proofErr w:type="gramEnd"/>
            <w:r w:rsidRPr="00E8312C">
              <w:t xml:space="preserve"> offering</w:t>
            </w:r>
          </w:p>
        </w:tc>
      </w:tr>
      <w:tr w:rsidR="0098153E" w:rsidRPr="00E8312C" w:rsidTr="00CB17E8">
        <w:trPr>
          <w:cantSplit/>
          <w:trHeight w:val="288"/>
        </w:trPr>
        <w:tc>
          <w:tcPr>
            <w:tcW w:w="1652" w:type="dxa"/>
          </w:tcPr>
          <w:p w:rsidR="0098153E" w:rsidRPr="00E8312C" w:rsidRDefault="0098153E" w:rsidP="00CB17E8">
            <w:pPr>
              <w:widowControl w:val="0"/>
            </w:pPr>
          </w:p>
        </w:tc>
        <w:tc>
          <w:tcPr>
            <w:tcW w:w="1617" w:type="dxa"/>
          </w:tcPr>
          <w:p w:rsidR="0098153E" w:rsidRPr="00E8312C" w:rsidRDefault="0098153E" w:rsidP="00CB17E8">
            <w:pPr>
              <w:widowControl w:val="0"/>
            </w:pPr>
          </w:p>
        </w:tc>
        <w:tc>
          <w:tcPr>
            <w:tcW w:w="1294" w:type="dxa"/>
          </w:tcPr>
          <w:p w:rsidR="0098153E" w:rsidRPr="00E8312C" w:rsidRDefault="0098153E" w:rsidP="00CB17E8">
            <w:pPr>
              <w:widowControl w:val="0"/>
            </w:pPr>
          </w:p>
        </w:tc>
        <w:tc>
          <w:tcPr>
            <w:tcW w:w="1722" w:type="dxa"/>
          </w:tcPr>
          <w:p w:rsidR="0098153E" w:rsidRPr="00E8312C" w:rsidRDefault="0098153E" w:rsidP="00CB17E8">
            <w:pPr>
              <w:widowControl w:val="0"/>
            </w:pPr>
          </w:p>
        </w:tc>
        <w:tc>
          <w:tcPr>
            <w:tcW w:w="1652" w:type="dxa"/>
          </w:tcPr>
          <w:p w:rsidR="0098153E" w:rsidRPr="00E8312C" w:rsidRDefault="0098153E" w:rsidP="00CB17E8">
            <w:pPr>
              <w:widowControl w:val="0"/>
            </w:pPr>
          </w:p>
        </w:tc>
        <w:tc>
          <w:tcPr>
            <w:tcW w:w="1653" w:type="dxa"/>
          </w:tcPr>
          <w:p w:rsidR="0098153E" w:rsidRPr="00E8312C" w:rsidRDefault="0098153E" w:rsidP="00CB17E8">
            <w:pPr>
              <w:widowControl w:val="0"/>
            </w:pPr>
          </w:p>
        </w:tc>
      </w:tr>
      <w:tr w:rsidR="0098153E" w:rsidRPr="00E8312C" w:rsidTr="00CB17E8">
        <w:trPr>
          <w:cantSplit/>
          <w:trHeight w:val="288"/>
        </w:trPr>
        <w:tc>
          <w:tcPr>
            <w:tcW w:w="1652" w:type="dxa"/>
          </w:tcPr>
          <w:p w:rsidR="0098153E" w:rsidRPr="00E8312C" w:rsidRDefault="0098153E" w:rsidP="00CB17E8">
            <w:pPr>
              <w:widowControl w:val="0"/>
            </w:pPr>
          </w:p>
        </w:tc>
        <w:tc>
          <w:tcPr>
            <w:tcW w:w="1617" w:type="dxa"/>
          </w:tcPr>
          <w:p w:rsidR="0098153E" w:rsidRPr="00E8312C" w:rsidRDefault="0098153E" w:rsidP="00CB17E8">
            <w:pPr>
              <w:widowControl w:val="0"/>
            </w:pPr>
          </w:p>
        </w:tc>
        <w:tc>
          <w:tcPr>
            <w:tcW w:w="1294" w:type="dxa"/>
          </w:tcPr>
          <w:p w:rsidR="0098153E" w:rsidRPr="00E8312C" w:rsidRDefault="0098153E" w:rsidP="00CB17E8">
            <w:pPr>
              <w:widowControl w:val="0"/>
            </w:pPr>
          </w:p>
        </w:tc>
        <w:tc>
          <w:tcPr>
            <w:tcW w:w="1722" w:type="dxa"/>
          </w:tcPr>
          <w:p w:rsidR="0098153E" w:rsidRPr="00E8312C" w:rsidRDefault="0098153E" w:rsidP="00CB17E8">
            <w:pPr>
              <w:widowControl w:val="0"/>
            </w:pPr>
          </w:p>
        </w:tc>
        <w:tc>
          <w:tcPr>
            <w:tcW w:w="1652" w:type="dxa"/>
          </w:tcPr>
          <w:p w:rsidR="0098153E" w:rsidRPr="00E8312C" w:rsidRDefault="0098153E" w:rsidP="00CB17E8">
            <w:pPr>
              <w:widowControl w:val="0"/>
            </w:pPr>
          </w:p>
        </w:tc>
        <w:tc>
          <w:tcPr>
            <w:tcW w:w="1653" w:type="dxa"/>
          </w:tcPr>
          <w:p w:rsidR="0098153E" w:rsidRPr="00E8312C" w:rsidRDefault="0098153E" w:rsidP="00CB17E8">
            <w:pPr>
              <w:widowControl w:val="0"/>
            </w:pPr>
          </w:p>
        </w:tc>
      </w:tr>
    </w:tbl>
    <w:p w:rsidR="0098153E" w:rsidRPr="00E8312C" w:rsidRDefault="0098153E" w:rsidP="003D3343">
      <w:pPr>
        <w:pStyle w:val="Heading1"/>
      </w:pPr>
      <w:r w:rsidRPr="00E8312C">
        <w:t>Securities Offered</w:t>
      </w:r>
    </w:p>
    <w:p w:rsidR="0098153E" w:rsidRPr="00E8312C" w:rsidRDefault="0098153E" w:rsidP="003D3343">
      <w:pPr>
        <w:pStyle w:val="Heading2"/>
      </w:pPr>
      <w:r w:rsidRPr="00E8312C">
        <w:rPr>
          <w:b/>
          <w:i/>
        </w:rPr>
        <w:t>Terms of Securities</w:t>
      </w:r>
      <w:r w:rsidRPr="00E8312C">
        <w:rPr>
          <w:b/>
        </w:rPr>
        <w:t xml:space="preserve"> </w:t>
      </w:r>
      <w:r w:rsidRPr="00E8312C">
        <w:t xml:space="preserve">- Describe the material terms of the securities </w:t>
      </w:r>
      <w:proofErr w:type="gramStart"/>
      <w:r w:rsidRPr="00E8312C">
        <w:t>being offered</w:t>
      </w:r>
      <w:proofErr w:type="gramEnd"/>
      <w:r w:rsidRPr="00E8312C">
        <w:t>, including:</w:t>
      </w:r>
    </w:p>
    <w:p w:rsidR="0098153E" w:rsidRPr="00E8312C" w:rsidRDefault="0098153E" w:rsidP="003D3343">
      <w:pPr>
        <w:pStyle w:val="Heading4"/>
        <w:rPr>
          <w:lang w:val="en-US"/>
        </w:rPr>
      </w:pPr>
      <w:proofErr w:type="gramStart"/>
      <w:r w:rsidRPr="00E8312C">
        <w:rPr>
          <w:lang w:val="en-US"/>
        </w:rPr>
        <w:t>voting</w:t>
      </w:r>
      <w:proofErr w:type="gramEnd"/>
      <w:r w:rsidRPr="00E8312C">
        <w:rPr>
          <w:lang w:val="en-US"/>
        </w:rPr>
        <w:t xml:space="preserve"> rights or restrictions on voting,</w:t>
      </w:r>
    </w:p>
    <w:p w:rsidR="0098153E" w:rsidRPr="00E8312C" w:rsidRDefault="0098153E" w:rsidP="003D3343">
      <w:pPr>
        <w:pStyle w:val="Heading4"/>
        <w:rPr>
          <w:lang w:val="en-US"/>
        </w:rPr>
      </w:pPr>
      <w:proofErr w:type="gramStart"/>
      <w:r w:rsidRPr="00E8312C">
        <w:rPr>
          <w:lang w:val="en-US"/>
        </w:rPr>
        <w:lastRenderedPageBreak/>
        <w:t>conversion</w:t>
      </w:r>
      <w:proofErr w:type="gramEnd"/>
      <w:r w:rsidRPr="00E8312C">
        <w:rPr>
          <w:lang w:val="en-US"/>
        </w:rPr>
        <w:t xml:space="preserve"> or exercise price and date of expiry,</w:t>
      </w:r>
    </w:p>
    <w:p w:rsidR="0098153E" w:rsidRPr="00E8312C" w:rsidRDefault="0098153E" w:rsidP="003D3343">
      <w:pPr>
        <w:pStyle w:val="Heading4"/>
        <w:rPr>
          <w:lang w:val="en-US"/>
        </w:rPr>
      </w:pPr>
      <w:proofErr w:type="gramStart"/>
      <w:r w:rsidRPr="00E8312C">
        <w:rPr>
          <w:lang w:val="en-US"/>
        </w:rPr>
        <w:t>rights</w:t>
      </w:r>
      <w:proofErr w:type="gramEnd"/>
      <w:r w:rsidRPr="00E8312C">
        <w:rPr>
          <w:lang w:val="en-US"/>
        </w:rPr>
        <w:t xml:space="preserve"> of redemption or retraction, and</w:t>
      </w:r>
    </w:p>
    <w:p w:rsidR="0098153E" w:rsidRPr="00E8312C" w:rsidRDefault="0098153E" w:rsidP="003D3343">
      <w:pPr>
        <w:pStyle w:val="Heading4"/>
        <w:rPr>
          <w:lang w:val="en-US"/>
        </w:rPr>
      </w:pPr>
      <w:proofErr w:type="gramStart"/>
      <w:r w:rsidRPr="00E8312C">
        <w:rPr>
          <w:lang w:val="en-US"/>
        </w:rPr>
        <w:t>interest</w:t>
      </w:r>
      <w:proofErr w:type="gramEnd"/>
      <w:r w:rsidRPr="00E8312C">
        <w:rPr>
          <w:lang w:val="en-US"/>
        </w:rPr>
        <w:t xml:space="preserve"> rates or dividend rates.</w:t>
      </w:r>
    </w:p>
    <w:p w:rsidR="0098153E" w:rsidRPr="00E12703" w:rsidRDefault="0098153E" w:rsidP="003D3343">
      <w:pPr>
        <w:pStyle w:val="Heading2"/>
        <w:rPr>
          <w:b/>
          <w:bCs/>
          <w:i/>
          <w:iCs/>
        </w:rPr>
      </w:pPr>
      <w:r w:rsidRPr="00E12703">
        <w:rPr>
          <w:b/>
          <w:i/>
        </w:rPr>
        <w:t>Subscription Procedure</w:t>
      </w:r>
    </w:p>
    <w:p w:rsidR="0098153E" w:rsidRPr="00E8312C" w:rsidRDefault="0098153E" w:rsidP="003D3343">
      <w:pPr>
        <w:pStyle w:val="Heading4"/>
        <w:rPr>
          <w:lang w:val="en-US"/>
        </w:rPr>
      </w:pPr>
      <w:r w:rsidRPr="00E8312C">
        <w:rPr>
          <w:lang w:val="en-US"/>
        </w:rPr>
        <w:t>Describe how a purchaser can subscribe for the securities and the method of payment.</w:t>
      </w:r>
    </w:p>
    <w:p w:rsidR="0098153E" w:rsidRPr="00E8312C" w:rsidRDefault="0098153E" w:rsidP="003D3343">
      <w:pPr>
        <w:pStyle w:val="Heading4"/>
        <w:rPr>
          <w:lang w:val="en-US"/>
        </w:rPr>
      </w:pPr>
      <w:r w:rsidRPr="00E8312C">
        <w:rPr>
          <w:lang w:val="en-US"/>
        </w:rPr>
        <w:t>State that the consideration will be held in trust and the period that it will be held (refer at least to the mandatory two day period).</w:t>
      </w:r>
    </w:p>
    <w:p w:rsidR="0098153E" w:rsidRDefault="0098153E" w:rsidP="003D3343">
      <w:pPr>
        <w:pStyle w:val="Heading4"/>
        <w:rPr>
          <w:lang w:val="en-US"/>
        </w:rPr>
      </w:pPr>
      <w:r w:rsidRPr="00E8312C">
        <w:rPr>
          <w:lang w:val="en-US"/>
        </w:rPr>
        <w:t xml:space="preserve">Disclose any conditions to closing e.g., receipt of additional funds from other sources.  If there is a minimum offering, disclose when consideration </w:t>
      </w:r>
      <w:proofErr w:type="gramStart"/>
      <w:r w:rsidRPr="00E8312C">
        <w:rPr>
          <w:lang w:val="en-US"/>
        </w:rPr>
        <w:t>will be returned</w:t>
      </w:r>
      <w:proofErr w:type="gramEnd"/>
      <w:r w:rsidRPr="00E8312C">
        <w:rPr>
          <w:lang w:val="en-US"/>
        </w:rPr>
        <w:t xml:space="preserve"> to purchasers if the minimum is not met.</w:t>
      </w:r>
    </w:p>
    <w:p w:rsidR="0098153E" w:rsidRDefault="0098153E" w:rsidP="003D3343">
      <w:pPr>
        <w:pStyle w:val="Heading1"/>
      </w:pPr>
      <w:r w:rsidRPr="00E8312C">
        <w:t>Income Tax Consequences and RRSP Eligibility</w:t>
      </w:r>
    </w:p>
    <w:p w:rsidR="0098153E" w:rsidRDefault="0098153E" w:rsidP="003D3343">
      <w:pPr>
        <w:pStyle w:val="Heading2"/>
      </w:pPr>
      <w:r w:rsidRPr="00E8312C">
        <w:t xml:space="preserve">State: </w:t>
      </w:r>
      <w:r>
        <w:t>“</w:t>
      </w:r>
      <w:r w:rsidRPr="00E8312C">
        <w:t>You should consult your own professional advisers to obtain advice on the income tax consequences that apply to you</w:t>
      </w:r>
      <w:r>
        <w:t>”</w:t>
      </w:r>
      <w:r w:rsidRPr="00E8312C">
        <w:t>.</w:t>
      </w:r>
    </w:p>
    <w:p w:rsidR="0098153E" w:rsidRPr="00E8312C" w:rsidRDefault="0098153E" w:rsidP="003D3343">
      <w:pPr>
        <w:pStyle w:val="Heading2"/>
      </w:pPr>
      <w:r w:rsidRPr="00E8312C">
        <w:t>If income tax consequences are a material aspect of the securities being offered (e.g., flow-through shares), provide</w:t>
      </w:r>
    </w:p>
    <w:p w:rsidR="0098153E" w:rsidRPr="00E8312C" w:rsidRDefault="0098153E" w:rsidP="003D3343">
      <w:pPr>
        <w:pStyle w:val="Heading4"/>
        <w:rPr>
          <w:lang w:val="en-US"/>
        </w:rPr>
      </w:pPr>
      <w:proofErr w:type="gramStart"/>
      <w:r w:rsidRPr="00E8312C">
        <w:rPr>
          <w:lang w:val="en-US"/>
        </w:rPr>
        <w:t>a</w:t>
      </w:r>
      <w:proofErr w:type="gramEnd"/>
      <w:r w:rsidRPr="00E8312C">
        <w:rPr>
          <w:lang w:val="en-US"/>
        </w:rPr>
        <w:t xml:space="preserve"> summary of the significant income tax consequences to Canadian residents, and</w:t>
      </w:r>
    </w:p>
    <w:p w:rsidR="0098153E" w:rsidRPr="00E8312C" w:rsidRDefault="0098153E" w:rsidP="003D3343">
      <w:pPr>
        <w:pStyle w:val="Heading4"/>
        <w:rPr>
          <w:lang w:val="en-US"/>
        </w:rPr>
      </w:pPr>
      <w:proofErr w:type="gramStart"/>
      <w:r w:rsidRPr="00E8312C">
        <w:rPr>
          <w:lang w:val="en-US"/>
        </w:rPr>
        <w:t>the</w:t>
      </w:r>
      <w:proofErr w:type="gramEnd"/>
      <w:r w:rsidRPr="00E8312C">
        <w:rPr>
          <w:lang w:val="en-US"/>
        </w:rPr>
        <w:t xml:space="preserve"> name of the person or company providing the income tax disclosure in (a).</w:t>
      </w:r>
    </w:p>
    <w:p w:rsidR="0098153E" w:rsidRDefault="0098153E" w:rsidP="003D3343">
      <w:pPr>
        <w:pStyle w:val="Heading2"/>
      </w:pPr>
      <w:r w:rsidRPr="00E8312C">
        <w:t xml:space="preserve">Provide advice regarding the RRSP eligibility of the securities and the name of the person or company providing the advice or state </w:t>
      </w:r>
      <w:r>
        <w:t>“</w:t>
      </w:r>
      <w:r w:rsidRPr="00E8312C">
        <w:t>Not all securities are eligible for investment in a registered retirement savings plan (RRSP). You should consult your own professional advisers to obtain advice on the RRSP eligibility of these securities.</w:t>
      </w:r>
      <w:r>
        <w:t>”</w:t>
      </w:r>
    </w:p>
    <w:p w:rsidR="0098153E" w:rsidRDefault="003D3343" w:rsidP="003D3343">
      <w:pPr>
        <w:pStyle w:val="Heading1"/>
      </w:pPr>
      <w:r>
        <w:t>C</w:t>
      </w:r>
      <w:r w:rsidR="0098153E" w:rsidRPr="00E8312C">
        <w:t>ompensation Paid to Sellers and Finders</w:t>
      </w:r>
    </w:p>
    <w:p w:rsidR="0098153E" w:rsidRPr="00E8312C" w:rsidRDefault="0098153E" w:rsidP="00A8789E">
      <w:pPr>
        <w:widowControl w:val="0"/>
        <w:spacing w:after="240"/>
      </w:pPr>
      <w:r w:rsidRPr="00E8312C">
        <w:t>If any person or company has or will receive any compensation (e.g., commission, corporate finance fee or finder</w:t>
      </w:r>
      <w:r>
        <w:t>’</w:t>
      </w:r>
      <w:r w:rsidRPr="00E8312C">
        <w:t>s fee) in connection with the offering, provide the following information to the extent applicable:</w:t>
      </w:r>
    </w:p>
    <w:p w:rsidR="0098153E" w:rsidRPr="00E8312C" w:rsidRDefault="0098153E" w:rsidP="003D3343">
      <w:pPr>
        <w:pStyle w:val="Heading4"/>
        <w:rPr>
          <w:lang w:val="en-US"/>
        </w:rPr>
      </w:pPr>
      <w:proofErr w:type="gramStart"/>
      <w:r w:rsidRPr="00E8312C">
        <w:rPr>
          <w:lang w:val="en-US"/>
        </w:rPr>
        <w:t>a</w:t>
      </w:r>
      <w:proofErr w:type="gramEnd"/>
      <w:r w:rsidRPr="00E8312C">
        <w:rPr>
          <w:lang w:val="en-US"/>
        </w:rPr>
        <w:t xml:space="preserve"> description of each type of compensation and the estimated amount to be paid for each type,</w:t>
      </w:r>
    </w:p>
    <w:p w:rsidR="0098153E" w:rsidRPr="00E8312C" w:rsidRDefault="0098153E" w:rsidP="003D3343">
      <w:pPr>
        <w:pStyle w:val="Heading4"/>
        <w:rPr>
          <w:lang w:val="en-US"/>
        </w:rPr>
      </w:pPr>
      <w:proofErr w:type="gramStart"/>
      <w:r w:rsidRPr="00E8312C">
        <w:rPr>
          <w:lang w:val="en-US"/>
        </w:rPr>
        <w:lastRenderedPageBreak/>
        <w:t>if</w:t>
      </w:r>
      <w:proofErr w:type="gramEnd"/>
      <w:r w:rsidRPr="00E8312C">
        <w:rPr>
          <w:lang w:val="en-US"/>
        </w:rPr>
        <w:t xml:space="preserve"> a commission is being paid, the percentage that the commission will represent of the gross proceeds of the offering (assuming both the minimum and maximum offering),</w:t>
      </w:r>
    </w:p>
    <w:p w:rsidR="0098153E" w:rsidRPr="00E8312C" w:rsidRDefault="0098153E" w:rsidP="003D3343">
      <w:pPr>
        <w:pStyle w:val="Heading4"/>
        <w:rPr>
          <w:lang w:val="en-US"/>
        </w:rPr>
      </w:pPr>
      <w:proofErr w:type="gramStart"/>
      <w:r w:rsidRPr="00E8312C">
        <w:rPr>
          <w:lang w:val="en-US"/>
        </w:rPr>
        <w:t>details</w:t>
      </w:r>
      <w:proofErr w:type="gramEnd"/>
      <w:r w:rsidRPr="00E8312C">
        <w:rPr>
          <w:lang w:val="en-US"/>
        </w:rPr>
        <w:t xml:space="preserve"> of any broker</w:t>
      </w:r>
      <w:r>
        <w:rPr>
          <w:lang w:val="en-US"/>
        </w:rPr>
        <w:t>’</w:t>
      </w:r>
      <w:r w:rsidRPr="00E8312C">
        <w:rPr>
          <w:lang w:val="en-US"/>
        </w:rPr>
        <w:t>s warrants or agent</w:t>
      </w:r>
      <w:r>
        <w:rPr>
          <w:lang w:val="en-US"/>
        </w:rPr>
        <w:t>’</w:t>
      </w:r>
      <w:r w:rsidRPr="00E8312C">
        <w:rPr>
          <w:lang w:val="en-US"/>
        </w:rPr>
        <w:t>s option (including number of securities under option, exercise price and expiry date), and</w:t>
      </w:r>
    </w:p>
    <w:p w:rsidR="0098153E" w:rsidRPr="00E8312C" w:rsidRDefault="0098153E" w:rsidP="003D3343">
      <w:pPr>
        <w:pStyle w:val="Heading4"/>
        <w:rPr>
          <w:lang w:val="en-US"/>
        </w:rPr>
      </w:pPr>
      <w:proofErr w:type="gramStart"/>
      <w:r w:rsidRPr="00E8312C">
        <w:rPr>
          <w:lang w:val="en-US"/>
        </w:rPr>
        <w:t>if</w:t>
      </w:r>
      <w:proofErr w:type="gramEnd"/>
      <w:r w:rsidRPr="00E8312C">
        <w:rPr>
          <w:lang w:val="en-US"/>
        </w:rPr>
        <w:t xml:space="preserve"> any portion of the compensation will be paid in securities, details of the securities (including number, type and, if options or warrants, the exercise price and expiry date).</w:t>
      </w:r>
    </w:p>
    <w:p w:rsidR="0098153E" w:rsidRPr="00E8312C" w:rsidRDefault="0098153E" w:rsidP="003D3343">
      <w:pPr>
        <w:pStyle w:val="Heading1"/>
      </w:pPr>
      <w:r w:rsidRPr="00E8312C">
        <w:t>Risk Factors</w:t>
      </w:r>
    </w:p>
    <w:p w:rsidR="0098153E" w:rsidRPr="00E8312C" w:rsidRDefault="0098153E" w:rsidP="00A8789E">
      <w:pPr>
        <w:widowControl w:val="0"/>
        <w:spacing w:after="240"/>
      </w:pPr>
      <w:r w:rsidRPr="00E8312C">
        <w:t>Describe in order of importance, starting with the most important, the risk factors material to the issuer that a reasonable investor would consider important in deciding whether to buy the issuer</w:t>
      </w:r>
      <w:r>
        <w:t>’</w:t>
      </w:r>
      <w:r w:rsidRPr="00E8312C">
        <w:t>s securities.</w:t>
      </w:r>
    </w:p>
    <w:p w:rsidR="0098153E" w:rsidRPr="00E8312C" w:rsidRDefault="0098153E" w:rsidP="00A8789E">
      <w:pPr>
        <w:widowControl w:val="0"/>
        <w:spacing w:after="240"/>
      </w:pPr>
      <w:r w:rsidRPr="00E8312C">
        <w:t>Risk factors will generally fall into the following three categories:</w:t>
      </w:r>
    </w:p>
    <w:p w:rsidR="0098153E" w:rsidRPr="00E8312C" w:rsidRDefault="0098153E" w:rsidP="003D3343">
      <w:pPr>
        <w:pStyle w:val="Heading4"/>
        <w:rPr>
          <w:lang w:val="en-US"/>
        </w:rPr>
      </w:pPr>
      <w:r w:rsidRPr="00E8312C">
        <w:rPr>
          <w:lang w:val="en-US"/>
        </w:rPr>
        <w:t xml:space="preserve">Investment Risk - risks that are specific to the securities </w:t>
      </w:r>
      <w:proofErr w:type="gramStart"/>
      <w:r w:rsidRPr="00E8312C">
        <w:rPr>
          <w:lang w:val="en-US"/>
        </w:rPr>
        <w:t>being offered</w:t>
      </w:r>
      <w:proofErr w:type="gramEnd"/>
      <w:r w:rsidRPr="00E8312C">
        <w:rPr>
          <w:lang w:val="en-US"/>
        </w:rPr>
        <w:t>.  Some examples include</w:t>
      </w:r>
    </w:p>
    <w:p w:rsidR="0098153E" w:rsidRPr="00E8312C" w:rsidRDefault="0098153E" w:rsidP="003D3343">
      <w:pPr>
        <w:pStyle w:val="ListParagraph"/>
        <w:widowControl w:val="0"/>
        <w:numPr>
          <w:ilvl w:val="0"/>
          <w:numId w:val="14"/>
        </w:numPr>
        <w:tabs>
          <w:tab w:val="left" w:pos="1820"/>
        </w:tabs>
      </w:pPr>
      <w:r w:rsidRPr="00E8312C">
        <w:t>arbitrary determination of price,</w:t>
      </w:r>
    </w:p>
    <w:p w:rsidR="0098153E" w:rsidRPr="00E8312C" w:rsidRDefault="0098153E" w:rsidP="003D3343">
      <w:pPr>
        <w:pStyle w:val="ListParagraph"/>
        <w:widowControl w:val="0"/>
        <w:numPr>
          <w:ilvl w:val="0"/>
          <w:numId w:val="14"/>
        </w:numPr>
        <w:tabs>
          <w:tab w:val="left" w:pos="1820"/>
        </w:tabs>
      </w:pPr>
      <w:r w:rsidRPr="00E8312C">
        <w:t>no market or an illiquid market for the securities,</w:t>
      </w:r>
    </w:p>
    <w:p w:rsidR="0098153E" w:rsidRPr="00E8312C" w:rsidRDefault="0098153E" w:rsidP="003D3343">
      <w:pPr>
        <w:pStyle w:val="ListParagraph"/>
        <w:widowControl w:val="0"/>
        <w:numPr>
          <w:ilvl w:val="0"/>
          <w:numId w:val="14"/>
        </w:numPr>
        <w:tabs>
          <w:tab w:val="left" w:pos="1820"/>
        </w:tabs>
      </w:pPr>
      <w:r w:rsidRPr="00E8312C">
        <w:t>resale restrictions, and</w:t>
      </w:r>
    </w:p>
    <w:p w:rsidR="0098153E" w:rsidRPr="00E8312C" w:rsidRDefault="0098153E" w:rsidP="003D3343">
      <w:pPr>
        <w:pStyle w:val="ListParagraph"/>
        <w:widowControl w:val="0"/>
        <w:numPr>
          <w:ilvl w:val="0"/>
          <w:numId w:val="14"/>
        </w:numPr>
        <w:tabs>
          <w:tab w:val="left" w:pos="1820"/>
        </w:tabs>
        <w:spacing w:after="240"/>
      </w:pPr>
      <w:proofErr w:type="gramStart"/>
      <w:r w:rsidRPr="00E8312C">
        <w:t>subordination</w:t>
      </w:r>
      <w:proofErr w:type="gramEnd"/>
      <w:r w:rsidRPr="00E8312C">
        <w:t xml:space="preserve"> of debt securities.</w:t>
      </w:r>
    </w:p>
    <w:p w:rsidR="0098153E" w:rsidRPr="00E8312C" w:rsidRDefault="0098153E" w:rsidP="003D3343">
      <w:pPr>
        <w:pStyle w:val="Heading4"/>
        <w:rPr>
          <w:lang w:val="en-US"/>
        </w:rPr>
      </w:pPr>
      <w:r w:rsidRPr="00E8312C">
        <w:rPr>
          <w:lang w:val="en-US"/>
        </w:rPr>
        <w:t>Issuer Risk - risks that are specific to the issuer.  Some examples include</w:t>
      </w:r>
    </w:p>
    <w:p w:rsidR="0098153E" w:rsidRPr="00E8312C" w:rsidRDefault="0098153E" w:rsidP="003D3343">
      <w:pPr>
        <w:pStyle w:val="ListParagraph"/>
        <w:widowControl w:val="0"/>
        <w:numPr>
          <w:ilvl w:val="0"/>
          <w:numId w:val="14"/>
        </w:numPr>
      </w:pPr>
      <w:r w:rsidRPr="00E8312C">
        <w:t>insufficient funds to accomplish the issuer</w:t>
      </w:r>
      <w:r>
        <w:t>’</w:t>
      </w:r>
      <w:r w:rsidRPr="00E8312C">
        <w:t>s business objectives,</w:t>
      </w:r>
    </w:p>
    <w:p w:rsidR="0098153E" w:rsidRPr="00E8312C" w:rsidRDefault="0098153E" w:rsidP="003D3343">
      <w:pPr>
        <w:pStyle w:val="ListParagraph"/>
        <w:widowControl w:val="0"/>
        <w:numPr>
          <w:ilvl w:val="0"/>
          <w:numId w:val="14"/>
        </w:numPr>
        <w:tabs>
          <w:tab w:val="left" w:pos="1820"/>
        </w:tabs>
      </w:pPr>
      <w:r w:rsidRPr="00E8312C">
        <w:t>no history or a limited history of revenue or profits,</w:t>
      </w:r>
    </w:p>
    <w:p w:rsidR="0098153E" w:rsidRPr="00E8312C" w:rsidRDefault="0098153E" w:rsidP="003D3343">
      <w:pPr>
        <w:pStyle w:val="ListParagraph"/>
        <w:widowControl w:val="0"/>
        <w:numPr>
          <w:ilvl w:val="0"/>
          <w:numId w:val="14"/>
        </w:numPr>
        <w:tabs>
          <w:tab w:val="left" w:pos="1820"/>
        </w:tabs>
      </w:pPr>
      <w:r w:rsidRPr="00E8312C">
        <w:t>lack of specific management or technical expertise,</w:t>
      </w:r>
    </w:p>
    <w:p w:rsidR="0098153E" w:rsidRPr="00E8312C" w:rsidRDefault="0098153E" w:rsidP="003D3343">
      <w:pPr>
        <w:pStyle w:val="ListParagraph"/>
        <w:widowControl w:val="0"/>
        <w:numPr>
          <w:ilvl w:val="0"/>
          <w:numId w:val="14"/>
        </w:numPr>
        <w:tabs>
          <w:tab w:val="left" w:pos="1820"/>
        </w:tabs>
      </w:pPr>
      <w:r w:rsidRPr="00E8312C">
        <w:t>management</w:t>
      </w:r>
      <w:r>
        <w:t>’</w:t>
      </w:r>
      <w:r w:rsidRPr="00E8312C">
        <w:t>s regulatory and business track record,</w:t>
      </w:r>
    </w:p>
    <w:p w:rsidR="0098153E" w:rsidRPr="00E8312C" w:rsidRDefault="0098153E" w:rsidP="003D3343">
      <w:pPr>
        <w:pStyle w:val="ListParagraph"/>
        <w:widowControl w:val="0"/>
        <w:numPr>
          <w:ilvl w:val="0"/>
          <w:numId w:val="14"/>
        </w:numPr>
        <w:tabs>
          <w:tab w:val="left" w:pos="1820"/>
        </w:tabs>
      </w:pPr>
      <w:r w:rsidRPr="00E8312C">
        <w:t>dependence on key employees, suppliers or agreements,</w:t>
      </w:r>
    </w:p>
    <w:p w:rsidR="0098153E" w:rsidRPr="00E8312C" w:rsidRDefault="0098153E" w:rsidP="003D3343">
      <w:pPr>
        <w:pStyle w:val="ListParagraph"/>
        <w:widowControl w:val="0"/>
        <w:numPr>
          <w:ilvl w:val="0"/>
          <w:numId w:val="14"/>
        </w:numPr>
        <w:tabs>
          <w:tab w:val="left" w:pos="1820"/>
        </w:tabs>
      </w:pPr>
      <w:r w:rsidRPr="00E8312C">
        <w:t>dependence on financial viability of guarantor,</w:t>
      </w:r>
    </w:p>
    <w:p w:rsidR="0098153E" w:rsidRPr="00E8312C" w:rsidRDefault="0098153E" w:rsidP="003D3343">
      <w:pPr>
        <w:pStyle w:val="ListParagraph"/>
        <w:widowControl w:val="0"/>
        <w:numPr>
          <w:ilvl w:val="0"/>
          <w:numId w:val="14"/>
        </w:numPr>
        <w:tabs>
          <w:tab w:val="left" w:pos="1820"/>
        </w:tabs>
      </w:pPr>
      <w:r w:rsidRPr="00E8312C">
        <w:t>pending and outstanding litigation, and</w:t>
      </w:r>
    </w:p>
    <w:p w:rsidR="0098153E" w:rsidRPr="00E8312C" w:rsidRDefault="0098153E" w:rsidP="003D3343">
      <w:pPr>
        <w:pStyle w:val="ListParagraph"/>
        <w:widowControl w:val="0"/>
        <w:numPr>
          <w:ilvl w:val="0"/>
          <w:numId w:val="14"/>
        </w:numPr>
        <w:tabs>
          <w:tab w:val="left" w:pos="1820"/>
        </w:tabs>
        <w:spacing w:after="240"/>
      </w:pPr>
      <w:proofErr w:type="gramStart"/>
      <w:r w:rsidRPr="00E8312C">
        <w:t>political</w:t>
      </w:r>
      <w:proofErr w:type="gramEnd"/>
      <w:r w:rsidRPr="00E8312C">
        <w:t xml:space="preserve"> risk factors.</w:t>
      </w:r>
    </w:p>
    <w:p w:rsidR="0098153E" w:rsidRPr="00E8312C" w:rsidRDefault="0098153E" w:rsidP="003D3343">
      <w:pPr>
        <w:pStyle w:val="Heading4"/>
        <w:rPr>
          <w:lang w:val="en-US"/>
        </w:rPr>
      </w:pPr>
      <w:r w:rsidRPr="00E8312C">
        <w:rPr>
          <w:lang w:val="en-US"/>
        </w:rPr>
        <w:t>Industry Risk - risks faced by the issuer because of the industry in which it operates.  Some examples include</w:t>
      </w:r>
    </w:p>
    <w:p w:rsidR="0098153E" w:rsidRPr="00E8312C" w:rsidRDefault="0098153E" w:rsidP="003D3343">
      <w:pPr>
        <w:pStyle w:val="ListParagraph"/>
        <w:widowControl w:val="0"/>
        <w:numPr>
          <w:ilvl w:val="0"/>
          <w:numId w:val="14"/>
        </w:numPr>
        <w:tabs>
          <w:tab w:val="left" w:pos="1820"/>
        </w:tabs>
      </w:pPr>
      <w:r w:rsidRPr="00E8312C">
        <w:t>environmental and industry regulation,</w:t>
      </w:r>
    </w:p>
    <w:p w:rsidR="0098153E" w:rsidRPr="00E8312C" w:rsidRDefault="0098153E" w:rsidP="003D3343">
      <w:pPr>
        <w:pStyle w:val="ListParagraph"/>
        <w:widowControl w:val="0"/>
        <w:numPr>
          <w:ilvl w:val="0"/>
          <w:numId w:val="14"/>
        </w:numPr>
        <w:tabs>
          <w:tab w:val="left" w:pos="1820"/>
        </w:tabs>
      </w:pPr>
      <w:r w:rsidRPr="00E8312C">
        <w:t>product obsolescence, and</w:t>
      </w:r>
    </w:p>
    <w:p w:rsidR="0098153E" w:rsidRDefault="0098153E" w:rsidP="003D3343">
      <w:pPr>
        <w:pStyle w:val="ListParagraph"/>
        <w:widowControl w:val="0"/>
        <w:numPr>
          <w:ilvl w:val="0"/>
          <w:numId w:val="14"/>
        </w:numPr>
        <w:tabs>
          <w:tab w:val="left" w:pos="1820"/>
        </w:tabs>
        <w:spacing w:after="240"/>
      </w:pPr>
      <w:proofErr w:type="gramStart"/>
      <w:r w:rsidRPr="00E8312C">
        <w:t>competition</w:t>
      </w:r>
      <w:proofErr w:type="gramEnd"/>
      <w:r w:rsidRPr="00E8312C">
        <w:t>.</w:t>
      </w:r>
    </w:p>
    <w:p w:rsidR="0098153E" w:rsidRDefault="0098153E" w:rsidP="00E12703">
      <w:pPr>
        <w:pStyle w:val="Heading1"/>
        <w:keepNext/>
      </w:pPr>
      <w:r w:rsidRPr="00E8312C">
        <w:lastRenderedPageBreak/>
        <w:t>Reporting Obligations</w:t>
      </w:r>
    </w:p>
    <w:p w:rsidR="0098153E" w:rsidRPr="00E8312C" w:rsidRDefault="0098153E" w:rsidP="00E12703">
      <w:pPr>
        <w:pStyle w:val="Heading2"/>
        <w:keepNext/>
      </w:pPr>
      <w:r w:rsidRPr="00E8312C">
        <w:t xml:space="preserve">Disclose the documents that </w:t>
      </w:r>
      <w:proofErr w:type="gramStart"/>
      <w:r w:rsidRPr="00E8312C">
        <w:t>will be sent</w:t>
      </w:r>
      <w:proofErr w:type="gramEnd"/>
      <w:r w:rsidRPr="00E8312C">
        <w:t xml:space="preserve"> to purchasers on an annual or on-going basis.</w:t>
      </w:r>
    </w:p>
    <w:p w:rsidR="0098153E" w:rsidRDefault="0098153E" w:rsidP="003D3343">
      <w:pPr>
        <w:pStyle w:val="Heading2"/>
      </w:pPr>
      <w:r w:rsidRPr="00E8312C">
        <w:t>If corporate or securities information about the issuer is available from a government, securities regulatory authority or regulator, SRO or quotation and trade reporting system, disclose where that information can be located (including website address).</w:t>
      </w:r>
    </w:p>
    <w:p w:rsidR="0098153E" w:rsidRDefault="0098153E" w:rsidP="003D3343">
      <w:pPr>
        <w:pStyle w:val="Heading1"/>
      </w:pPr>
      <w:r w:rsidRPr="00E8312C">
        <w:t>Resale Restrictions</w:t>
      </w:r>
    </w:p>
    <w:p w:rsidR="0098153E" w:rsidRPr="00E8312C" w:rsidRDefault="0098153E" w:rsidP="00A8789E">
      <w:pPr>
        <w:widowControl w:val="0"/>
        <w:spacing w:after="240"/>
      </w:pPr>
      <w:r w:rsidRPr="00E8312C">
        <w:t>For trades in Alberta, British Columbia, New Brunswick, Newfoundland and Labrador, Northwest Territories, Nova Scotia, Nunavut,</w:t>
      </w:r>
      <w:r w:rsidR="00A07AAB">
        <w:t xml:space="preserve"> Ontario,</w:t>
      </w:r>
      <w:r w:rsidRPr="00E8312C">
        <w:t xml:space="preserve"> Prince Edward Island, Québec, Saskatchewan and Yukon, state:</w:t>
      </w:r>
    </w:p>
    <w:p w:rsidR="0098153E" w:rsidRPr="00E8312C" w:rsidRDefault="0098153E" w:rsidP="00A8789E">
      <w:pPr>
        <w:widowControl w:val="0"/>
        <w:spacing w:after="240"/>
      </w:pPr>
      <w:r>
        <w:t>“</w:t>
      </w:r>
      <w:r w:rsidRPr="00E8312C">
        <w:t>These securities will be subject to a number of resale restrictions, including a restriction on trading.  Until the restriction on trading expires, you will not be able to trade the securities unless you comply with an exemption from the prospectus and registration requirements under securities legislation.</w:t>
      </w:r>
    </w:p>
    <w:p w:rsidR="0098153E" w:rsidRPr="00E8312C" w:rsidRDefault="0098153E" w:rsidP="00A8789E">
      <w:pPr>
        <w:widowControl w:val="0"/>
      </w:pPr>
      <w:r w:rsidRPr="00E8312C">
        <w:t>Unless permitted under securities legislation, you cannot trade the securities before the date that is 4 months and a day after the distribution date.</w:t>
      </w:r>
      <w:r>
        <w:t>”</w:t>
      </w:r>
    </w:p>
    <w:p w:rsidR="0098153E" w:rsidRPr="00E8312C" w:rsidRDefault="0098153E" w:rsidP="003D3343">
      <w:pPr>
        <w:pStyle w:val="Heading1"/>
      </w:pPr>
      <w:r w:rsidRPr="00E8312C">
        <w:t>Purchasers</w:t>
      </w:r>
      <w:r>
        <w:t>’</w:t>
      </w:r>
      <w:r w:rsidRPr="00E8312C">
        <w:t xml:space="preserve"> Rights</w:t>
      </w:r>
    </w:p>
    <w:p w:rsidR="0098153E" w:rsidRPr="00E8312C" w:rsidRDefault="0098153E" w:rsidP="00A8789E">
      <w:pPr>
        <w:widowControl w:val="0"/>
        <w:spacing w:after="240"/>
      </w:pPr>
      <w:r w:rsidRPr="00E8312C">
        <w:t>State the following:</w:t>
      </w:r>
    </w:p>
    <w:p w:rsidR="0098153E" w:rsidRPr="00E8312C" w:rsidRDefault="0098153E" w:rsidP="00A8789E">
      <w:pPr>
        <w:widowControl w:val="0"/>
        <w:spacing w:after="240"/>
      </w:pPr>
      <w:r>
        <w:t>“</w:t>
      </w:r>
      <w:r w:rsidRPr="00E8312C">
        <w:t xml:space="preserve">If you purchase these securities you will have certain rights, some of which are described below.  For information about your </w:t>
      </w:r>
      <w:proofErr w:type="gramStart"/>
      <w:r w:rsidRPr="00E8312C">
        <w:t>rights</w:t>
      </w:r>
      <w:proofErr w:type="gramEnd"/>
      <w:r w:rsidRPr="00E8312C">
        <w:t xml:space="preserve"> you should consult a lawyer.</w:t>
      </w:r>
    </w:p>
    <w:p w:rsidR="0098153E" w:rsidRPr="00E8312C" w:rsidRDefault="0098153E" w:rsidP="003D3343">
      <w:pPr>
        <w:pStyle w:val="Heading3"/>
      </w:pPr>
      <w:r w:rsidRPr="00E8312C">
        <w:rPr>
          <w:b/>
        </w:rPr>
        <w:t xml:space="preserve">Two -Day Cancellation Right </w:t>
      </w:r>
      <w:r w:rsidRPr="00E8312C">
        <w:t xml:space="preserve">- You can cancel your agreement to purchase these securities.  To do so, you must send a notice to us by midnight on the </w:t>
      </w:r>
      <w:proofErr w:type="gramStart"/>
      <w:r w:rsidRPr="00E8312C">
        <w:t>2nd</w:t>
      </w:r>
      <w:proofErr w:type="gramEnd"/>
      <w:r w:rsidRPr="00E8312C">
        <w:t xml:space="preserve"> business day after you sign the agreement to buy the securities.</w:t>
      </w:r>
    </w:p>
    <w:p w:rsidR="0098153E" w:rsidRPr="00E8312C" w:rsidRDefault="0098153E" w:rsidP="003D3343">
      <w:pPr>
        <w:pStyle w:val="Heading3"/>
      </w:pPr>
      <w:r w:rsidRPr="00E8312C">
        <w:rPr>
          <w:b/>
        </w:rPr>
        <w:t xml:space="preserve">Statutory Rights of Action in the Event of a Misrepresentation </w:t>
      </w:r>
      <w:r w:rsidRPr="00E8312C">
        <w:t>- [Insert this section only if the securities legislation of the jurisdiction in which the trade occurs provides purchasers with statutory rights in the event of a misrepresentation in an offering memorandum.  Modify the language, if necessary, to conform to the statutory rights.] If there is a misrepresentation in this offering memorandum, you have a statutory right to sue:</w:t>
      </w:r>
    </w:p>
    <w:p w:rsidR="0098153E" w:rsidRPr="00E8312C" w:rsidRDefault="0098153E" w:rsidP="003D3343">
      <w:pPr>
        <w:pStyle w:val="Heading4"/>
        <w:rPr>
          <w:lang w:val="en-US"/>
        </w:rPr>
      </w:pPr>
      <w:r w:rsidRPr="00E8312C">
        <w:rPr>
          <w:lang w:val="en-US"/>
        </w:rPr>
        <w:t>[</w:t>
      </w:r>
      <w:proofErr w:type="gramStart"/>
      <w:r w:rsidRPr="00E8312C">
        <w:rPr>
          <w:lang w:val="en-US"/>
        </w:rPr>
        <w:t>name</w:t>
      </w:r>
      <w:proofErr w:type="gramEnd"/>
      <w:r w:rsidRPr="00E8312C">
        <w:rPr>
          <w:lang w:val="en-US"/>
        </w:rPr>
        <w:t xml:space="preserve"> of issuer or other term used to refer to issuer] to cancel your agreement to buy these securities, or</w:t>
      </w:r>
    </w:p>
    <w:p w:rsidR="0098153E" w:rsidRPr="00E8312C" w:rsidRDefault="0098153E" w:rsidP="003D3343">
      <w:pPr>
        <w:pStyle w:val="Heading4"/>
        <w:rPr>
          <w:lang w:val="en-US"/>
        </w:rPr>
      </w:pPr>
      <w:r w:rsidRPr="00E8312C">
        <w:rPr>
          <w:lang w:val="en-US"/>
        </w:rPr>
        <w:t>for damages against [state the name of issuer or other term used to refer to issuer and the title of any other person or company against whom the rights are available].</w:t>
      </w:r>
    </w:p>
    <w:p w:rsidR="0098153E" w:rsidRPr="00E8312C" w:rsidRDefault="0098153E" w:rsidP="00A8789E">
      <w:pPr>
        <w:widowControl w:val="0"/>
        <w:spacing w:after="240"/>
      </w:pPr>
      <w:r w:rsidRPr="00E8312C">
        <w:lastRenderedPageBreak/>
        <w:t xml:space="preserve">This statutory right to sue is available to you </w:t>
      </w:r>
      <w:proofErr w:type="gramStart"/>
      <w:r w:rsidRPr="00E8312C">
        <w:t>whether or not</w:t>
      </w:r>
      <w:proofErr w:type="gramEnd"/>
      <w:r w:rsidRPr="00E8312C">
        <w:t xml:space="preserve"> you relied on the misrepresentation.  However, there are various defences available to the persons or companies that you have a right to sue.  In particular, they have a defence if you knew of the misrepresentation when you purchased the securities.</w:t>
      </w:r>
    </w:p>
    <w:p w:rsidR="0098153E" w:rsidRPr="00E8312C" w:rsidRDefault="0098153E" w:rsidP="00A8789E">
      <w:pPr>
        <w:widowControl w:val="0"/>
        <w:spacing w:after="240"/>
      </w:pPr>
      <w:r w:rsidRPr="00E8312C">
        <w:t xml:space="preserve">If you intend to rely on the rights described in (a) or (b) above, you must do so within strict time limitations.  You must commence your action to cancel the agreement within [state </w:t>
      </w:r>
      <w:proofErr w:type="gramStart"/>
      <w:r w:rsidRPr="00E8312C">
        <w:t>time period</w:t>
      </w:r>
      <w:proofErr w:type="gramEnd"/>
      <w:r w:rsidRPr="00E8312C">
        <w:t xml:space="preserve"> provided by the securities legislation].  You must commence your action for damages within [state </w:t>
      </w:r>
      <w:proofErr w:type="gramStart"/>
      <w:r w:rsidRPr="00E8312C">
        <w:t>time period</w:t>
      </w:r>
      <w:proofErr w:type="gramEnd"/>
      <w:r w:rsidRPr="00E8312C">
        <w:t xml:space="preserve"> provided by the securities legislation].</w:t>
      </w:r>
    </w:p>
    <w:p w:rsidR="0098153E" w:rsidRPr="00E8312C" w:rsidRDefault="0098153E" w:rsidP="003D3343">
      <w:pPr>
        <w:pStyle w:val="Heading3"/>
      </w:pPr>
      <w:r w:rsidRPr="00E8312C">
        <w:rPr>
          <w:b/>
        </w:rPr>
        <w:t xml:space="preserve">Contractual Rights of Action in the Event of a Misrepresentation </w:t>
      </w:r>
      <w:r w:rsidRPr="00E8312C">
        <w:t>- [Insert this section only if the securities legislation of the jurisdiction in which the purchaser is resident does not provide purchasers with statutory rights in the event of a misrepresentation in an offering memorandum.] If there is a misrepresentation in this offering memorandum, you have a contractual right to sue [name of issuer or other term used to refer to issuer]:</w:t>
      </w:r>
    </w:p>
    <w:p w:rsidR="0098153E" w:rsidRPr="00E8312C" w:rsidRDefault="0098153E" w:rsidP="003D3343">
      <w:pPr>
        <w:pStyle w:val="Heading4"/>
        <w:rPr>
          <w:lang w:val="en-US"/>
        </w:rPr>
      </w:pPr>
      <w:proofErr w:type="gramStart"/>
      <w:r w:rsidRPr="00E8312C">
        <w:rPr>
          <w:lang w:val="en-US"/>
        </w:rPr>
        <w:t>to</w:t>
      </w:r>
      <w:proofErr w:type="gramEnd"/>
      <w:r w:rsidRPr="00E8312C">
        <w:rPr>
          <w:lang w:val="en-US"/>
        </w:rPr>
        <w:t xml:space="preserve"> cancel your agreement to buy these securities, or</w:t>
      </w:r>
    </w:p>
    <w:p w:rsidR="0098153E" w:rsidRPr="00E8312C" w:rsidRDefault="0098153E" w:rsidP="003D3343">
      <w:pPr>
        <w:pStyle w:val="Heading4"/>
        <w:rPr>
          <w:lang w:val="en-US"/>
        </w:rPr>
      </w:pPr>
      <w:proofErr w:type="gramStart"/>
      <w:r w:rsidRPr="00E8312C">
        <w:rPr>
          <w:lang w:val="en-US"/>
        </w:rPr>
        <w:t>for</w:t>
      </w:r>
      <w:proofErr w:type="gramEnd"/>
      <w:r w:rsidRPr="00E8312C">
        <w:rPr>
          <w:lang w:val="en-US"/>
        </w:rPr>
        <w:t xml:space="preserve"> damages.</w:t>
      </w:r>
    </w:p>
    <w:p w:rsidR="0098153E" w:rsidRPr="00E8312C" w:rsidRDefault="0098153E" w:rsidP="00A8789E">
      <w:pPr>
        <w:widowControl w:val="0"/>
        <w:spacing w:after="240"/>
      </w:pPr>
      <w:r w:rsidRPr="00E8312C">
        <w:t xml:space="preserve">This contractual right to sue is available to you </w:t>
      </w:r>
      <w:proofErr w:type="gramStart"/>
      <w:r w:rsidRPr="00E8312C">
        <w:t>whether or not</w:t>
      </w:r>
      <w:proofErr w:type="gramEnd"/>
      <w:r w:rsidRPr="00E8312C">
        <w:t xml:space="preserve"> you relied on the misrepresentation.  However, in an action for damages, the amount you may recover will not exceed the price that you paid for your securities and will not include any part of the damages that [name of issuer or other term used to refer to issuer] proves does not represent the depreciation in value of the securities resulting from the misrepresentation. [Name of issuer or other term used to refer to issuer] has a defence if it proves that you knew of the misrepresentation when you purchased the securities.</w:t>
      </w:r>
    </w:p>
    <w:p w:rsidR="0098153E" w:rsidRPr="00E8312C" w:rsidRDefault="0098153E" w:rsidP="00A8789E">
      <w:pPr>
        <w:widowControl w:val="0"/>
      </w:pPr>
      <w:r w:rsidRPr="00E8312C">
        <w:t>If you intend to rely on the rights described in (a) or (b) above, you must do so within strict time limitations.  You must commence your action to cancel the agreement within 180 days after you signed the agreement to purchase the securities. You must commence your action for damages within the earlier of 180 days after learning of the misrepresentation and 3 years after you signed the agreement to purchase the securities.</w:t>
      </w:r>
      <w:r>
        <w:t>”</w:t>
      </w:r>
    </w:p>
    <w:p w:rsidR="0098153E" w:rsidRPr="00E8312C" w:rsidRDefault="0098153E" w:rsidP="00A8789E">
      <w:pPr>
        <w:widowControl w:val="0"/>
        <w:spacing w:before="360" w:after="360"/>
        <w:outlineLvl w:val="0"/>
        <w:rPr>
          <w:b/>
          <w:bCs/>
        </w:rPr>
      </w:pPr>
      <w:r w:rsidRPr="00E8312C">
        <w:rPr>
          <w:b/>
          <w:bCs/>
        </w:rPr>
        <w:t>Item 12: Date and Certificate</w:t>
      </w:r>
    </w:p>
    <w:p w:rsidR="0098153E" w:rsidRPr="00E8312C" w:rsidRDefault="0098153E" w:rsidP="00A8789E">
      <w:pPr>
        <w:widowControl w:val="0"/>
        <w:spacing w:after="240"/>
      </w:pPr>
      <w:r w:rsidRPr="00E8312C">
        <w:t>State the following on the certificate page of the offering memorandum:</w:t>
      </w:r>
    </w:p>
    <w:p w:rsidR="0098153E" w:rsidRPr="00E8312C" w:rsidRDefault="0098153E" w:rsidP="00A8789E">
      <w:pPr>
        <w:widowControl w:val="0"/>
        <w:spacing w:after="240"/>
      </w:pPr>
      <w:r>
        <w:t>“</w:t>
      </w:r>
      <w:r w:rsidRPr="00E8312C">
        <w:t>Dated [insert the date the certificate page of the offering memorandum is signed].</w:t>
      </w:r>
    </w:p>
    <w:p w:rsidR="0098153E" w:rsidRPr="00E8312C" w:rsidRDefault="0098153E" w:rsidP="00A8789E">
      <w:pPr>
        <w:widowControl w:val="0"/>
        <w:spacing w:after="480"/>
        <w:rPr>
          <w:b/>
          <w:bCs/>
        </w:rPr>
      </w:pPr>
      <w:r w:rsidRPr="00E8312C">
        <w:rPr>
          <w:b/>
          <w:bCs/>
        </w:rPr>
        <w:t>This offering memorandum does not contain a misrepresentation.</w:t>
      </w:r>
      <w:r>
        <w:rPr>
          <w:b/>
          <w:bCs/>
        </w:rPr>
        <w:t>”</w:t>
      </w:r>
    </w:p>
    <w:p w:rsidR="00E12703" w:rsidRDefault="00E12703" w:rsidP="00A8789E">
      <w:pPr>
        <w:widowControl w:val="0"/>
        <w:jc w:val="center"/>
        <w:rPr>
          <w:bCs/>
        </w:rPr>
        <w:sectPr w:rsidR="00E12703" w:rsidSect="00AC34CC">
          <w:headerReference w:type="default" r:id="rId9"/>
          <w:pgSz w:w="12240" w:h="15840"/>
          <w:pgMar w:top="1440" w:right="1440" w:bottom="1440" w:left="1440" w:header="720" w:footer="720" w:gutter="0"/>
          <w:cols w:space="720"/>
          <w:titlePg/>
          <w:docGrid w:linePitch="360"/>
        </w:sectPr>
      </w:pPr>
    </w:p>
    <w:p w:rsidR="0098153E" w:rsidRPr="00E8312C" w:rsidRDefault="0098153E" w:rsidP="00A8789E">
      <w:pPr>
        <w:widowControl w:val="0"/>
        <w:jc w:val="center"/>
        <w:rPr>
          <w:b/>
          <w:bCs/>
        </w:rPr>
      </w:pPr>
      <w:r w:rsidRPr="00E8312C">
        <w:rPr>
          <w:b/>
          <w:bCs/>
        </w:rPr>
        <w:lastRenderedPageBreak/>
        <w:t>Instructions for Completing</w:t>
      </w:r>
    </w:p>
    <w:p w:rsidR="0098153E" w:rsidRPr="00E8312C" w:rsidRDefault="0098153E" w:rsidP="00A8789E">
      <w:pPr>
        <w:widowControl w:val="0"/>
        <w:jc w:val="center"/>
        <w:rPr>
          <w:b/>
          <w:bCs/>
        </w:rPr>
      </w:pPr>
      <w:r w:rsidRPr="00E8312C">
        <w:rPr>
          <w:b/>
          <w:bCs/>
        </w:rPr>
        <w:t>Form 45-106F3</w:t>
      </w:r>
    </w:p>
    <w:p w:rsidR="0098153E" w:rsidRPr="00E8312C" w:rsidRDefault="0098153E" w:rsidP="00A8789E">
      <w:pPr>
        <w:widowControl w:val="0"/>
        <w:spacing w:after="240"/>
        <w:jc w:val="center"/>
        <w:rPr>
          <w:b/>
          <w:bCs/>
          <w:i/>
          <w:iCs/>
        </w:rPr>
      </w:pPr>
      <w:r w:rsidRPr="00E8312C">
        <w:rPr>
          <w:b/>
          <w:bCs/>
          <w:i/>
          <w:iCs/>
        </w:rPr>
        <w:t>Offering Memorandum for Qualifying Issuers</w:t>
      </w:r>
    </w:p>
    <w:p w:rsidR="0098153E" w:rsidRPr="00E8312C" w:rsidRDefault="0098153E" w:rsidP="003D3343">
      <w:pPr>
        <w:pStyle w:val="Heading8"/>
      </w:pPr>
      <w:r w:rsidRPr="00E8312C">
        <w:t>General Instructions</w:t>
      </w:r>
    </w:p>
    <w:p w:rsidR="0098153E" w:rsidRPr="002532E9" w:rsidRDefault="0098153E" w:rsidP="002532E9">
      <w:pPr>
        <w:pStyle w:val="Heading9"/>
      </w:pPr>
      <w:r w:rsidRPr="002532E9">
        <w:t>Only a “qualifying issuer” may use this form.</w:t>
      </w:r>
    </w:p>
    <w:p w:rsidR="0098153E" w:rsidRPr="00E8312C" w:rsidRDefault="0098153E" w:rsidP="002532E9">
      <w:pPr>
        <w:pStyle w:val="Heading9"/>
      </w:pPr>
      <w:r w:rsidRPr="00E8312C">
        <w:t xml:space="preserve">An issuer using this form to draft an offering memorandum must incorporate by reference certain parts of its existing continuous disclosure base.  An issuer that does not want to do this must use Form 45-106F2 </w:t>
      </w:r>
      <w:r w:rsidRPr="00E8312C">
        <w:rPr>
          <w:i/>
          <w:iCs/>
        </w:rPr>
        <w:t>Offering Memorandum for Non-Qualifying Issuers</w:t>
      </w:r>
      <w:r w:rsidRPr="00E8312C">
        <w:t>.</w:t>
      </w:r>
    </w:p>
    <w:p w:rsidR="0098153E" w:rsidRPr="00E8312C" w:rsidRDefault="0098153E" w:rsidP="002532E9">
      <w:pPr>
        <w:pStyle w:val="Heading9"/>
      </w:pPr>
      <w:r w:rsidRPr="00E8312C">
        <w:t>Draft the offering memorandum so that it is easy to read and understand. Be concise and use clear, plain language.  Avoid technical terms.  If technical terms are necessary, provide definitions.</w:t>
      </w:r>
    </w:p>
    <w:p w:rsidR="0098153E" w:rsidRPr="00E8312C" w:rsidRDefault="0098153E" w:rsidP="002532E9">
      <w:pPr>
        <w:pStyle w:val="Heading9"/>
      </w:pPr>
      <w:r w:rsidRPr="00E8312C">
        <w:t>Address the items required by the form in the order set out in the form.  However, it is not necessary to provide disclosure about an item that does not apply.</w:t>
      </w:r>
    </w:p>
    <w:p w:rsidR="0098153E" w:rsidRPr="00E8312C" w:rsidRDefault="0098153E" w:rsidP="002532E9">
      <w:pPr>
        <w:pStyle w:val="Heading9"/>
      </w:pPr>
      <w:r w:rsidRPr="00E8312C">
        <w:t>The issuer may include additional information in the offering memorandum other than that specifically required by the form. The offering memorandum is generally not required to contain the level of detail and extent of disclosure required by a prospectus.  However, an offering memorandum must provide a prospective purchaser with sufficient information to make an informed investment decision.</w:t>
      </w:r>
    </w:p>
    <w:p w:rsidR="0098153E" w:rsidRPr="00E8312C" w:rsidRDefault="0098153E" w:rsidP="002532E9">
      <w:pPr>
        <w:pStyle w:val="Heading9"/>
      </w:pPr>
      <w:r w:rsidRPr="00E8312C">
        <w:t xml:space="preserve">The issuer may wrap the offering memorandum around a prospectus or similar document.  However, all matters </w:t>
      </w:r>
      <w:proofErr w:type="gramStart"/>
      <w:r w:rsidRPr="00E8312C">
        <w:t>required to be disclosed</w:t>
      </w:r>
      <w:proofErr w:type="gramEnd"/>
      <w:r w:rsidRPr="00E8312C">
        <w:t xml:space="preserve"> by the offering memorandum must be addressed and the offering memorandum must provide a cross-reference to the page number or heading in the wrapped document where the relevant information is contained.  The certificate to the offering memorandum </w:t>
      </w:r>
      <w:proofErr w:type="gramStart"/>
      <w:r w:rsidRPr="00E8312C">
        <w:t>must be modified</w:t>
      </w:r>
      <w:proofErr w:type="gramEnd"/>
      <w:r w:rsidRPr="00E8312C">
        <w:t xml:space="preserve"> to indicate that the offering memorandum, including the document around which it is wrapped, does not contain a misrepresentation.</w:t>
      </w:r>
    </w:p>
    <w:p w:rsidR="0098153E" w:rsidRPr="00E8312C" w:rsidRDefault="0098153E" w:rsidP="002532E9">
      <w:pPr>
        <w:pStyle w:val="Heading9"/>
      </w:pPr>
      <w:r w:rsidRPr="00E8312C">
        <w:t xml:space="preserve">It is an offence to make a misrepresentation in the offering memorandum.  This applies both to information that is required by the form and to additional information that is provided.  Include particulars of any material facts, which </w:t>
      </w:r>
      <w:proofErr w:type="gramStart"/>
      <w:r w:rsidRPr="00E8312C">
        <w:t>have not been disclosed</w:t>
      </w:r>
      <w:proofErr w:type="gramEnd"/>
      <w:r w:rsidRPr="00E8312C">
        <w:t xml:space="preserve"> under any of the Item numbers and for which failure to disclose would constitute a misrepresentation in the offering memorandum.  Refer also to section 3.8(3) of Companion Policy 45-106CP for additional information.</w:t>
      </w:r>
    </w:p>
    <w:p w:rsidR="0098153E" w:rsidRPr="00E8312C" w:rsidRDefault="0098153E" w:rsidP="002532E9">
      <w:pPr>
        <w:pStyle w:val="Heading9"/>
      </w:pPr>
      <w:r w:rsidRPr="00E8312C">
        <w:t xml:space="preserve">Refer to National Instrument 43-101 </w:t>
      </w:r>
      <w:r w:rsidRPr="00E8312C">
        <w:rPr>
          <w:i/>
          <w:iCs/>
        </w:rPr>
        <w:t>Standards of Disclosure for Mineral Projects</w:t>
      </w:r>
      <w:r w:rsidRPr="00E8312C">
        <w:t xml:space="preserve"> (NI 43</w:t>
      </w:r>
      <w:r w:rsidRPr="00E8312C">
        <w:noBreakHyphen/>
        <w:t>101) when disclosing scientific or technical information for a mineral project of the issuer.</w:t>
      </w:r>
    </w:p>
    <w:p w:rsidR="0098153E" w:rsidRPr="00E8312C" w:rsidRDefault="0098153E" w:rsidP="002532E9">
      <w:pPr>
        <w:pStyle w:val="Heading9"/>
      </w:pPr>
      <w:r w:rsidRPr="00E8312C">
        <w:t xml:space="preserve">If an oil and gas issuer is disclosing information about its oil and gas activities, it must ensure that the information </w:t>
      </w:r>
      <w:proofErr w:type="gramStart"/>
      <w:r w:rsidRPr="00E8312C">
        <w:t>is disclosed</w:t>
      </w:r>
      <w:proofErr w:type="gramEnd"/>
      <w:r w:rsidRPr="00E8312C">
        <w:t xml:space="preserve"> in accordance with Part 4 and Part 5 of National Instrument 51-101 Standards of Disclosure for Oil and Gas Activities (NI 51-101). Under section 5.3 of NI 51-101, disclosure of reserves or resources must be consistent with the </w:t>
      </w:r>
      <w:r w:rsidRPr="00E8312C">
        <w:lastRenderedPageBreak/>
        <w:t xml:space="preserve">reserves and resources terminology and categories set out in the Canadian Oil and Gas Evaluation Handbook. For the purposes of this instruction, references to reporting issuer in Part </w:t>
      </w:r>
      <w:proofErr w:type="gramStart"/>
      <w:r w:rsidRPr="00E8312C">
        <w:t>4</w:t>
      </w:r>
      <w:proofErr w:type="gramEnd"/>
      <w:r w:rsidRPr="00E8312C">
        <w:t xml:space="preserve"> and Part 5 of NI 51-101 will be deemed to include all issuers.</w:t>
      </w:r>
    </w:p>
    <w:p w:rsidR="0098153E" w:rsidRPr="00E8312C" w:rsidRDefault="0098153E" w:rsidP="002532E9">
      <w:pPr>
        <w:pStyle w:val="Heading9"/>
      </w:pPr>
      <w:r w:rsidRPr="00E8312C">
        <w:t xml:space="preserve">Securities legislation restricts what </w:t>
      </w:r>
      <w:proofErr w:type="gramStart"/>
      <w:r w:rsidRPr="00E8312C">
        <w:t>can be told</w:t>
      </w:r>
      <w:proofErr w:type="gramEnd"/>
      <w:r w:rsidRPr="00E8312C">
        <w:t xml:space="preserve"> to investors about the issuer</w:t>
      </w:r>
      <w:r>
        <w:t>’</w:t>
      </w:r>
      <w:r w:rsidRPr="00E8312C">
        <w:t>s intent to list or quote securities on an exchange or market.  Refer to applicable securities legislation before making any such statements.</w:t>
      </w:r>
    </w:p>
    <w:p w:rsidR="0098153E" w:rsidRPr="00E8312C" w:rsidRDefault="0098153E" w:rsidP="002532E9">
      <w:pPr>
        <w:pStyle w:val="Heading9"/>
      </w:pPr>
      <w:r w:rsidRPr="00E8312C">
        <w:t>If an issuer uses this form in connection with a distribution under an exemption other than section 2.9 (</w:t>
      </w:r>
      <w:r w:rsidRPr="00E8312C">
        <w:rPr>
          <w:i/>
          <w:iCs/>
        </w:rPr>
        <w:t>offering memorandum</w:t>
      </w:r>
      <w:r w:rsidRPr="00E8312C">
        <w:t xml:space="preserve">) of National Instrument 45-106 </w:t>
      </w:r>
      <w:r w:rsidRPr="00E8312C">
        <w:rPr>
          <w:i/>
          <w:iCs/>
        </w:rPr>
        <w:t>Prospectus Exemptions</w:t>
      </w:r>
      <w:r w:rsidRPr="00E8312C">
        <w:t>, the issuer must modify the disclosure in item 12 to correctly describe the purchaser</w:t>
      </w:r>
      <w:r>
        <w:t>’</w:t>
      </w:r>
      <w:r w:rsidRPr="00E8312C">
        <w:t xml:space="preserve">s rights.  If a purchaser does not have statutory or contractual rights of action in the event of a misrepresentation in the offering memorandum, that fact </w:t>
      </w:r>
      <w:proofErr w:type="gramStart"/>
      <w:r w:rsidRPr="00E8312C">
        <w:t>must be stated</w:t>
      </w:r>
      <w:proofErr w:type="gramEnd"/>
      <w:r w:rsidRPr="00E8312C">
        <w:t xml:space="preserve"> in bold on the face page.</w:t>
      </w:r>
    </w:p>
    <w:p w:rsidR="0098153E" w:rsidRPr="00E8312C" w:rsidRDefault="0098153E" w:rsidP="002532E9">
      <w:pPr>
        <w:pStyle w:val="Heading9"/>
      </w:pPr>
      <w:r w:rsidRPr="00E8312C">
        <w:t xml:space="preserve">During the course of a distribution of securities, any material forward-looking information disseminated must only be that which is set out in the offering memorandum. </w:t>
      </w:r>
      <w:bookmarkStart w:id="0" w:name="_GoBack"/>
      <w:bookmarkEnd w:id="0"/>
      <w:r w:rsidRPr="00E8312C">
        <w:t xml:space="preserve">If an extract of FOFI, as defined in NI 51-102 </w:t>
      </w:r>
      <w:r w:rsidRPr="00E8312C">
        <w:rPr>
          <w:i/>
          <w:iCs/>
        </w:rPr>
        <w:t xml:space="preserve">Continuous Disclosure Obligations </w:t>
      </w:r>
      <w:r w:rsidRPr="00E8312C">
        <w:t>(NI 51-102), is disseminated, the extract or summary must be reasonably balanced and have a cautionary note in boldface stating that the information presented is not complete and that complete FOFI is included in the offering memorandum.</w:t>
      </w:r>
    </w:p>
    <w:p w:rsidR="0098153E" w:rsidRPr="00E8312C" w:rsidRDefault="0098153E" w:rsidP="003D3343">
      <w:pPr>
        <w:pStyle w:val="Heading8"/>
      </w:pPr>
      <w:r w:rsidRPr="00E8312C">
        <w:t>Financial Statements</w:t>
      </w:r>
    </w:p>
    <w:p w:rsidR="0098153E" w:rsidRPr="00E8312C" w:rsidRDefault="0098153E" w:rsidP="002532E9">
      <w:pPr>
        <w:pStyle w:val="Heading9"/>
      </w:pPr>
      <w:r w:rsidRPr="00E8312C">
        <w:t>All financial statements incorporated by reference into the offering memorandum must comply with NI 51-102 and National Instrument 52-</w:t>
      </w:r>
      <w:proofErr w:type="gramStart"/>
      <w:r w:rsidRPr="00E8312C">
        <w:t xml:space="preserve">107 </w:t>
      </w:r>
      <w:r w:rsidRPr="00E8312C">
        <w:rPr>
          <w:i/>
        </w:rPr>
        <w:t xml:space="preserve"> Acceptable</w:t>
      </w:r>
      <w:proofErr w:type="gramEnd"/>
      <w:r w:rsidRPr="00E8312C">
        <w:rPr>
          <w:i/>
        </w:rPr>
        <w:t xml:space="preserve"> Accounting Principles and Auditing Standards</w:t>
      </w:r>
      <w:r w:rsidRPr="00E8312C">
        <w:t>.</w:t>
      </w:r>
    </w:p>
    <w:p w:rsidR="0098153E" w:rsidRPr="00E8312C" w:rsidRDefault="0098153E" w:rsidP="002532E9">
      <w:pPr>
        <w:pStyle w:val="Heading9"/>
      </w:pPr>
      <w:r w:rsidRPr="00E8312C">
        <w:t>Forward-looking information included in an offering memorandum must comply with section 4A.2 of NI 51-102 and must include the disclosure described in section 4A.3 of NI 51-102. In addition to the foregoing, FOFI or a financial outlook, each as defined in NI 51-102, included in an offering memorandum mu</w:t>
      </w:r>
      <w:r w:rsidR="002532E9">
        <w:t>st comply with Part 4B of NI 51</w:t>
      </w:r>
      <w:r w:rsidR="002532E9">
        <w:noBreakHyphen/>
      </w:r>
      <w:r w:rsidRPr="00E8312C">
        <w:t xml:space="preserve">102. Additional guidance </w:t>
      </w:r>
      <w:proofErr w:type="gramStart"/>
      <w:r w:rsidRPr="00E8312C">
        <w:t>may be found</w:t>
      </w:r>
      <w:proofErr w:type="gramEnd"/>
      <w:r w:rsidRPr="00E8312C">
        <w:t xml:space="preserve"> in the companion policy to NI 51-102.</w:t>
      </w:r>
    </w:p>
    <w:p w:rsidR="0098153E" w:rsidRPr="00E8312C" w:rsidRDefault="0098153E" w:rsidP="003D3343">
      <w:pPr>
        <w:pStyle w:val="Heading8"/>
      </w:pPr>
      <w:r w:rsidRPr="00E8312C">
        <w:t>Required Updates to the Offering Memorandum</w:t>
      </w:r>
    </w:p>
    <w:p w:rsidR="0098153E" w:rsidRPr="00E8312C" w:rsidRDefault="0098153E" w:rsidP="002532E9">
      <w:pPr>
        <w:pStyle w:val="Heading9"/>
      </w:pPr>
      <w:r w:rsidRPr="00E8312C">
        <w:t>If the offering memorandum does not incorporate by reference the issuer</w:t>
      </w:r>
      <w:r>
        <w:t>’</w:t>
      </w:r>
      <w:r w:rsidRPr="00E8312C">
        <w:t xml:space="preserve">s AIF, and audited financial statements for its most recently completed financial year, update the offering memorandum for any financial statements that </w:t>
      </w:r>
      <w:proofErr w:type="gramStart"/>
      <w:r w:rsidRPr="00E8312C">
        <w:t>are required to be filed</w:t>
      </w:r>
      <w:proofErr w:type="gramEnd"/>
      <w:r w:rsidRPr="00E8312C">
        <w:t xml:space="preserve"> prior to the distribution to incorporate by reference the documents as soon as the documents are filed on SEDAR.</w:t>
      </w:r>
    </w:p>
    <w:p w:rsidR="0098153E" w:rsidRPr="00E8312C" w:rsidRDefault="0098153E" w:rsidP="002532E9">
      <w:pPr>
        <w:pStyle w:val="Heading9"/>
      </w:pPr>
      <w:r w:rsidRPr="00E8312C">
        <w:t>Except for documents referred to in C.1, the offering memorandum does not have to be updated to incorporate by reference interim financial reports or other documents referred to in D.1 unless it is necessary to do so to prevent the offering memorandum from containing a misrepresentation.</w:t>
      </w:r>
    </w:p>
    <w:p w:rsidR="0098153E" w:rsidRPr="00E8312C" w:rsidRDefault="0098153E" w:rsidP="003D3343">
      <w:pPr>
        <w:pStyle w:val="Heading8"/>
      </w:pPr>
      <w:r w:rsidRPr="00E8312C">
        <w:lastRenderedPageBreak/>
        <w:t>Information about the Issuer</w:t>
      </w:r>
    </w:p>
    <w:p w:rsidR="0098153E" w:rsidRPr="00E8312C" w:rsidRDefault="0098153E" w:rsidP="002532E9">
      <w:pPr>
        <w:pStyle w:val="Heading9"/>
        <w:rPr>
          <w:b/>
          <w:bCs/>
        </w:rPr>
      </w:pPr>
      <w:r w:rsidRPr="002532E9">
        <w:rPr>
          <w:i/>
        </w:rPr>
        <w:t>Existing Documents Incorporated by Reference</w:t>
      </w:r>
      <w:r w:rsidRPr="002532E9">
        <w:t xml:space="preserve"> - In addition to any other document that</w:t>
      </w:r>
      <w:r w:rsidRPr="00E8312C">
        <w:t xml:space="preserve"> an issuer may choose to incorporate by reference, the issuer must incorporate the following documents:</w:t>
      </w:r>
    </w:p>
    <w:p w:rsidR="0098153E" w:rsidRPr="00E8312C" w:rsidRDefault="0098153E" w:rsidP="00017033">
      <w:pPr>
        <w:pStyle w:val="Heading4"/>
        <w:numPr>
          <w:ilvl w:val="3"/>
          <w:numId w:val="17"/>
        </w:numPr>
      </w:pPr>
      <w:r w:rsidRPr="00E8312C">
        <w:t>the issuer</w:t>
      </w:r>
      <w:r>
        <w:t>’</w:t>
      </w:r>
      <w:r w:rsidRPr="00E8312C">
        <w:t>s AIF for the issuer</w:t>
      </w:r>
      <w:r>
        <w:t>’</w:t>
      </w:r>
      <w:r w:rsidRPr="00E8312C">
        <w:t>s most recently completed financial year for which annual financial statements are either required to be filed or have been filed,</w:t>
      </w:r>
    </w:p>
    <w:p w:rsidR="0098153E" w:rsidRPr="00E8312C" w:rsidRDefault="0098153E" w:rsidP="003D3343">
      <w:pPr>
        <w:pStyle w:val="Heading4"/>
      </w:pPr>
      <w:proofErr w:type="gramStart"/>
      <w:r w:rsidRPr="00E8312C">
        <w:t>material</w:t>
      </w:r>
      <w:proofErr w:type="gramEnd"/>
      <w:r w:rsidRPr="00E8312C">
        <w:t xml:space="preserve"> change reports, except confidential material change reports, filed since the end of the financial year in respect of which the issuer</w:t>
      </w:r>
      <w:r>
        <w:t>’</w:t>
      </w:r>
      <w:r w:rsidRPr="00E8312C">
        <w:t>s AIF is filed,</w:t>
      </w:r>
    </w:p>
    <w:p w:rsidR="0098153E" w:rsidRPr="00E8312C" w:rsidRDefault="0098153E" w:rsidP="003D3343">
      <w:pPr>
        <w:pStyle w:val="Heading4"/>
      </w:pPr>
      <w:r w:rsidRPr="00E8312C">
        <w:t>the interim financial report for the issuer</w:t>
      </w:r>
      <w:r>
        <w:t>’</w:t>
      </w:r>
      <w:r w:rsidRPr="00E8312C">
        <w:t>s most recently completed interim period for which the issuer prepares an interim financial report that is required to be filed or have been filed and which ends after the most recently completed financial year referred to in (d),</w:t>
      </w:r>
    </w:p>
    <w:p w:rsidR="0098153E" w:rsidRPr="00E8312C" w:rsidRDefault="0098153E" w:rsidP="003D3343">
      <w:pPr>
        <w:pStyle w:val="Heading4"/>
      </w:pPr>
      <w:r w:rsidRPr="00E8312C">
        <w:t>the comparative financial statements, together with the accompanying auditor</w:t>
      </w:r>
      <w:r>
        <w:t>’</w:t>
      </w:r>
      <w:r w:rsidRPr="00E8312C">
        <w:t>s report, for the issuer</w:t>
      </w:r>
      <w:r>
        <w:t>’</w:t>
      </w:r>
      <w:r w:rsidRPr="00E8312C">
        <w:t>s most recently completed financial year for which annual financial statements are required to be filed or have been filed,</w:t>
      </w:r>
    </w:p>
    <w:p w:rsidR="0098153E" w:rsidRPr="00E8312C" w:rsidRDefault="0098153E" w:rsidP="003D3343">
      <w:pPr>
        <w:pStyle w:val="Heading4"/>
      </w:pPr>
      <w:r w:rsidRPr="00E8312C">
        <w:t>if, before the offering memorandum is filed, financial information about the issuer for a financial period more recent than the period for which financial statements are required under D.1(c) and (d) is publicly disseminated by, or on behalf of, the issuer through news release or otherwise, the content of the news release or public communication,</w:t>
      </w:r>
    </w:p>
    <w:p w:rsidR="0098153E" w:rsidRPr="00E8312C" w:rsidRDefault="0098153E" w:rsidP="003D3343">
      <w:pPr>
        <w:pStyle w:val="Heading4"/>
      </w:pPr>
      <w:r w:rsidRPr="00E8312C">
        <w:t>management</w:t>
      </w:r>
      <w:r>
        <w:t>’</w:t>
      </w:r>
      <w:r w:rsidRPr="00E8312C">
        <w:t>s discussion and analysis (MD&amp;A) as required under NI 51-102 for the period specified in D.1(c) and D.1(d),</w:t>
      </w:r>
    </w:p>
    <w:p w:rsidR="0098153E" w:rsidRPr="00E8312C" w:rsidRDefault="0098153E" w:rsidP="003D3343">
      <w:pPr>
        <w:pStyle w:val="Heading4"/>
      </w:pPr>
      <w:proofErr w:type="gramStart"/>
      <w:r w:rsidRPr="00E8312C">
        <w:t>each business acquisition report required to be filed under NI 51-102 for acquisitions completed since the beginning of the financial year in respect of which the issuer</w:t>
      </w:r>
      <w:r>
        <w:t>’</w:t>
      </w:r>
      <w:r w:rsidRPr="00E8312C">
        <w:t>s AIF is filed, unless the issuer incorporated the business acquisition report by reference into its AIF for its most recently completed financial year for which annual financial statements are either required to be filed or have been filed, or incorporated at least 9 months of the acquired business or related businesses operations into the issuer</w:t>
      </w:r>
      <w:r>
        <w:t>’</w:t>
      </w:r>
      <w:r w:rsidRPr="00E8312C">
        <w:t>s most recent audited financial statements,</w:t>
      </w:r>
      <w:proofErr w:type="gramEnd"/>
    </w:p>
    <w:p w:rsidR="0098153E" w:rsidRPr="00E8312C" w:rsidRDefault="00A17F6A" w:rsidP="003D3343">
      <w:pPr>
        <w:pStyle w:val="Heading4"/>
      </w:pPr>
      <w:r>
        <w:t>any</w:t>
      </w:r>
      <w:r w:rsidR="0098153E" w:rsidRPr="00E8312C">
        <w:rPr>
          <w:lang w:val="en-US"/>
        </w:rPr>
        <w:t xml:space="preserve"> information circular filed by the issuer since the beginning of the financial year in respect of which the issuer</w:t>
      </w:r>
      <w:r w:rsidR="0098153E">
        <w:rPr>
          <w:lang w:val="en-US"/>
        </w:rPr>
        <w:t>’</w:t>
      </w:r>
      <w:r w:rsidR="0098153E" w:rsidRPr="00E8312C">
        <w:rPr>
          <w:lang w:val="en-US"/>
        </w:rPr>
        <w:t>s most recent AIF is filed, other than an information circular prepared in connection with an annual general meeting if the issuer has filed and incorporated by reference an information circular for a subsequent annual general meeting,</w:t>
      </w:r>
    </w:p>
    <w:p w:rsidR="0098153E" w:rsidRPr="00E8312C" w:rsidRDefault="0098153E" w:rsidP="003D3343">
      <w:pPr>
        <w:pStyle w:val="Heading4"/>
      </w:pPr>
      <w:r w:rsidRPr="00E8312C">
        <w:t xml:space="preserve">if the issuer has oil and gas activities, as defined in National Instrument 51-101 </w:t>
      </w:r>
      <w:r w:rsidRPr="00E8312C">
        <w:rPr>
          <w:i/>
          <w:iCs/>
        </w:rPr>
        <w:t>Standards of Disclosure for Oil and Gas Activities</w:t>
      </w:r>
      <w:r w:rsidRPr="00E8312C">
        <w:t>, t</w:t>
      </w:r>
      <w:r w:rsidR="002532E9">
        <w:rPr>
          <w:lang w:val="en-US"/>
        </w:rPr>
        <w:t>he most recent Form 51</w:t>
      </w:r>
      <w:r w:rsidR="002532E9">
        <w:rPr>
          <w:lang w:val="en-US"/>
        </w:rPr>
        <w:noBreakHyphen/>
      </w:r>
      <w:r w:rsidRPr="00E8312C">
        <w:rPr>
          <w:lang w:val="en-US"/>
        </w:rPr>
        <w:t>101F1, Form 51-101F2 and Form 51-101F3, filed by an SEC issuer, unless</w:t>
      </w:r>
    </w:p>
    <w:p w:rsidR="0098153E" w:rsidRPr="00E8312C" w:rsidRDefault="0098153E" w:rsidP="003D3343">
      <w:pPr>
        <w:pStyle w:val="Heading5"/>
        <w:rPr>
          <w:lang w:val="en-US"/>
        </w:rPr>
      </w:pPr>
      <w:proofErr w:type="gramStart"/>
      <w:r w:rsidRPr="00E8312C">
        <w:rPr>
          <w:lang w:val="en-US"/>
        </w:rPr>
        <w:lastRenderedPageBreak/>
        <w:t>the</w:t>
      </w:r>
      <w:proofErr w:type="gramEnd"/>
      <w:r w:rsidRPr="00E8312C">
        <w:rPr>
          <w:lang w:val="en-US"/>
        </w:rPr>
        <w:t xml:space="preserve"> issuer</w:t>
      </w:r>
      <w:r>
        <w:rPr>
          <w:lang w:val="en-US"/>
        </w:rPr>
        <w:t>’</w:t>
      </w:r>
      <w:r w:rsidRPr="00E8312C">
        <w:rPr>
          <w:lang w:val="en-US"/>
        </w:rPr>
        <w:t>s current AIF is in the form of Form 51-102F2</w:t>
      </w:r>
      <w:r w:rsidR="008B722C" w:rsidRPr="00E8312C">
        <w:rPr>
          <w:lang w:val="en-US"/>
        </w:rPr>
        <w:t>; or</w:t>
      </w:r>
    </w:p>
    <w:p w:rsidR="0098153E" w:rsidRPr="00E8312C" w:rsidRDefault="0098153E" w:rsidP="003D3343">
      <w:pPr>
        <w:pStyle w:val="Heading5"/>
      </w:pPr>
      <w:proofErr w:type="gramStart"/>
      <w:r w:rsidRPr="00E8312C">
        <w:rPr>
          <w:lang w:val="en-US"/>
        </w:rPr>
        <w:t>the</w:t>
      </w:r>
      <w:proofErr w:type="gramEnd"/>
      <w:r w:rsidRPr="00E8312C">
        <w:rPr>
          <w:lang w:val="en-US"/>
        </w:rPr>
        <w:t xml:space="preserve"> issuer is otherwise exempted from the requirements of NI 51-101,</w:t>
      </w:r>
    </w:p>
    <w:p w:rsidR="0098153E" w:rsidRPr="00E8312C" w:rsidRDefault="0098153E" w:rsidP="003D3343">
      <w:pPr>
        <w:pStyle w:val="Heading4"/>
        <w:rPr>
          <w:lang w:val="en-US"/>
        </w:rPr>
      </w:pPr>
      <w:r w:rsidRPr="00E8312C">
        <w:rPr>
          <w:lang w:val="en-US"/>
        </w:rPr>
        <w:t>any other disclosure document which the issuer has filed pursuant to an undertaking to a provincial and territorial securities regulatory authority or regulator since the beginning of the financial year in respect of which the issuer</w:t>
      </w:r>
      <w:r>
        <w:rPr>
          <w:lang w:val="en-US"/>
        </w:rPr>
        <w:t>’</w:t>
      </w:r>
      <w:r w:rsidRPr="00E8312C">
        <w:rPr>
          <w:lang w:val="en-US"/>
        </w:rPr>
        <w:t>s most recent AIF is filed, and</w:t>
      </w:r>
    </w:p>
    <w:p w:rsidR="0098153E" w:rsidRPr="00E8312C" w:rsidRDefault="0098153E" w:rsidP="003D3343">
      <w:pPr>
        <w:pStyle w:val="Heading4"/>
        <w:rPr>
          <w:lang w:val="en-US"/>
        </w:rPr>
      </w:pPr>
      <w:proofErr w:type="gramStart"/>
      <w:r w:rsidRPr="00E8312C">
        <w:rPr>
          <w:lang w:val="en-US"/>
        </w:rPr>
        <w:t>any</w:t>
      </w:r>
      <w:proofErr w:type="gramEnd"/>
      <w:r w:rsidRPr="00E8312C">
        <w:rPr>
          <w:lang w:val="en-US"/>
        </w:rPr>
        <w:t xml:space="preserve"> other disclosure document of the type listed above that the issuer has filed pursuant to an exemption from any requirement under securities legislation since the beginning of the financial year in respect of which the issuer</w:t>
      </w:r>
      <w:r>
        <w:rPr>
          <w:lang w:val="en-US"/>
        </w:rPr>
        <w:t>’</w:t>
      </w:r>
      <w:r w:rsidRPr="00E8312C">
        <w:rPr>
          <w:lang w:val="en-US"/>
        </w:rPr>
        <w:t>s most recent AIF is filed.</w:t>
      </w:r>
    </w:p>
    <w:p w:rsidR="0098153E" w:rsidRPr="00017033" w:rsidRDefault="0098153E" w:rsidP="002532E9">
      <w:pPr>
        <w:pStyle w:val="Heading9"/>
        <w:numPr>
          <w:ilvl w:val="8"/>
          <w:numId w:val="18"/>
        </w:numPr>
      </w:pPr>
      <w:proofErr w:type="gramStart"/>
      <w:r w:rsidRPr="002532E9">
        <w:rPr>
          <w:i/>
        </w:rPr>
        <w:t>Mineral Property</w:t>
      </w:r>
      <w:r w:rsidRPr="00017033">
        <w:t xml:space="preserve"> – If a material part of the funds available as a result of the distribution is to be expended on a particular mineral property and if the issuer’s most recent AIF does not contain the disclosure required under section 5.4 of Form 51-102F2 for the property or that disclosure is inadequate or incorrect due to changes, disclose the information required under section 5.4 of Form 51-102F2.</w:t>
      </w:r>
      <w:proofErr w:type="gramEnd"/>
    </w:p>
    <w:p w:rsidR="0098153E" w:rsidRDefault="0098153E" w:rsidP="00A8789E">
      <w:r w:rsidRPr="00E8312C">
        <w:t xml:space="preserve">An issuer may incorporate any additional document </w:t>
      </w:r>
      <w:proofErr w:type="gramStart"/>
      <w:r w:rsidRPr="00E8312C">
        <w:t>provided that</w:t>
      </w:r>
      <w:proofErr w:type="gramEnd"/>
      <w:r w:rsidRPr="00E8312C">
        <w:t xml:space="preserve"> the document is available for viewing on the SEDAR website and that, on request by a purchaser, the issuer provides a copy of the document to the purchaser, without charge.</w:t>
      </w:r>
    </w:p>
    <w:sectPr w:rsidR="0098153E" w:rsidSect="00083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3E" w:rsidRDefault="0098153E" w:rsidP="0098153E">
      <w:r>
        <w:separator/>
      </w:r>
    </w:p>
  </w:endnote>
  <w:endnote w:type="continuationSeparator" w:id="0">
    <w:p w:rsidR="0098153E" w:rsidRDefault="0098153E" w:rsidP="0098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3E" w:rsidRDefault="0098153E" w:rsidP="0098153E">
      <w:r>
        <w:separator/>
      </w:r>
    </w:p>
  </w:footnote>
  <w:footnote w:type="continuationSeparator" w:id="0">
    <w:p w:rsidR="0098153E" w:rsidRDefault="0098153E" w:rsidP="0098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CC" w:rsidRDefault="00AC34CC">
    <w:pPr>
      <w:pStyle w:val="Header"/>
      <w:jc w:val="center"/>
    </w:pPr>
    <w:r>
      <w:t>-</w:t>
    </w:r>
    <w:sdt>
      <w:sdtPr>
        <w:id w:val="-16877388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82D">
          <w:rPr>
            <w:noProof/>
          </w:rPr>
          <w:t>13</w:t>
        </w:r>
        <w:r>
          <w:rPr>
            <w:noProof/>
          </w:rPr>
          <w:fldChar w:fldCharType="end"/>
        </w:r>
        <w:r>
          <w:rPr>
            <w:noProof/>
          </w:rPr>
          <w:t>-</w:t>
        </w:r>
      </w:sdtContent>
    </w:sdt>
  </w:p>
  <w:p w:rsidR="00AC34CC" w:rsidRDefault="00AC3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7E63BA"/>
    <w:lvl w:ilvl="0">
      <w:start w:val="1"/>
      <w:numFmt w:val="decimal"/>
      <w:lvlText w:val="%1."/>
      <w:lvlJc w:val="left"/>
      <w:pPr>
        <w:tabs>
          <w:tab w:val="num" w:pos="1492"/>
        </w:tabs>
        <w:ind w:left="1492" w:hanging="360"/>
      </w:pPr>
    </w:lvl>
  </w:abstractNum>
  <w:abstractNum w:abstractNumId="1">
    <w:nsid w:val="FFFFFF7D"/>
    <w:multiLevelType w:val="singleLevel"/>
    <w:tmpl w:val="116809F4"/>
    <w:lvl w:ilvl="0">
      <w:start w:val="1"/>
      <w:numFmt w:val="decimal"/>
      <w:lvlText w:val="%1."/>
      <w:lvlJc w:val="left"/>
      <w:pPr>
        <w:tabs>
          <w:tab w:val="num" w:pos="1209"/>
        </w:tabs>
        <w:ind w:left="1209" w:hanging="360"/>
      </w:pPr>
    </w:lvl>
  </w:abstractNum>
  <w:abstractNum w:abstractNumId="2">
    <w:nsid w:val="FFFFFF7E"/>
    <w:multiLevelType w:val="singleLevel"/>
    <w:tmpl w:val="D380780E"/>
    <w:lvl w:ilvl="0">
      <w:start w:val="1"/>
      <w:numFmt w:val="decimal"/>
      <w:lvlText w:val="%1."/>
      <w:lvlJc w:val="left"/>
      <w:pPr>
        <w:tabs>
          <w:tab w:val="num" w:pos="926"/>
        </w:tabs>
        <w:ind w:left="926" w:hanging="360"/>
      </w:pPr>
    </w:lvl>
  </w:abstractNum>
  <w:abstractNum w:abstractNumId="3">
    <w:nsid w:val="FFFFFF7F"/>
    <w:multiLevelType w:val="singleLevel"/>
    <w:tmpl w:val="20BE8B82"/>
    <w:lvl w:ilvl="0">
      <w:start w:val="1"/>
      <w:numFmt w:val="decimal"/>
      <w:lvlText w:val="%1."/>
      <w:lvlJc w:val="left"/>
      <w:pPr>
        <w:tabs>
          <w:tab w:val="num" w:pos="643"/>
        </w:tabs>
        <w:ind w:left="643" w:hanging="360"/>
      </w:pPr>
    </w:lvl>
  </w:abstractNum>
  <w:abstractNum w:abstractNumId="4">
    <w:nsid w:val="FFFFFF80"/>
    <w:multiLevelType w:val="singleLevel"/>
    <w:tmpl w:val="6F907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BCBF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CEEC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A2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2A2F24"/>
    <w:lvl w:ilvl="0">
      <w:start w:val="1"/>
      <w:numFmt w:val="decimal"/>
      <w:lvlText w:val="%1."/>
      <w:lvlJc w:val="left"/>
      <w:pPr>
        <w:tabs>
          <w:tab w:val="num" w:pos="360"/>
        </w:tabs>
        <w:ind w:left="360" w:hanging="360"/>
      </w:pPr>
    </w:lvl>
  </w:abstractNum>
  <w:abstractNum w:abstractNumId="9">
    <w:nsid w:val="FFFFFF89"/>
    <w:multiLevelType w:val="singleLevel"/>
    <w:tmpl w:val="4C2A6AC4"/>
    <w:lvl w:ilvl="0">
      <w:start w:val="1"/>
      <w:numFmt w:val="bullet"/>
      <w:lvlText w:val=""/>
      <w:lvlJc w:val="left"/>
      <w:pPr>
        <w:tabs>
          <w:tab w:val="num" w:pos="360"/>
        </w:tabs>
        <w:ind w:left="360" w:hanging="360"/>
      </w:pPr>
      <w:rPr>
        <w:rFonts w:ascii="Symbol" w:hAnsi="Symbol" w:hint="default"/>
      </w:rPr>
    </w:lvl>
  </w:abstractNum>
  <w:abstractNum w:abstractNumId="10">
    <w:nsid w:val="1DE93949"/>
    <w:multiLevelType w:val="hybridMultilevel"/>
    <w:tmpl w:val="A8D0D864"/>
    <w:name w:val="Heading2"/>
    <w:lvl w:ilvl="0" w:tplc="10090001">
      <w:start w:val="1"/>
      <w:numFmt w:val="bullet"/>
      <w:lvlText w:val=""/>
      <w:lvlJc w:val="left"/>
      <w:pPr>
        <w:ind w:left="2150" w:hanging="360"/>
      </w:pPr>
      <w:rPr>
        <w:rFonts w:ascii="Symbol" w:hAnsi="Symbol"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11">
    <w:nsid w:val="390B1353"/>
    <w:multiLevelType w:val="hybridMultilevel"/>
    <w:tmpl w:val="03CC14AA"/>
    <w:name w:val="Heading222"/>
    <w:lvl w:ilvl="0" w:tplc="BCD0FF2A">
      <w:numFmt w:val="bullet"/>
      <w:lvlText w:val="•"/>
      <w:lvlJc w:val="left"/>
      <w:pPr>
        <w:ind w:left="182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4426714"/>
    <w:multiLevelType w:val="hybridMultilevel"/>
    <w:tmpl w:val="7DA45AAA"/>
    <w:lvl w:ilvl="0" w:tplc="BCD0FF2A">
      <w:numFmt w:val="bullet"/>
      <w:lvlText w:val="•"/>
      <w:lvlJc w:val="left"/>
      <w:pPr>
        <w:ind w:left="1820" w:hanging="390"/>
      </w:pPr>
      <w:rPr>
        <w:rFonts w:ascii="Times New Roman" w:eastAsia="Times New Roman" w:hAnsi="Times New Roman" w:cs="Times New Roman"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13">
    <w:nsid w:val="577B4A52"/>
    <w:multiLevelType w:val="hybridMultilevel"/>
    <w:tmpl w:val="B07E4890"/>
    <w:name w:val="Heading_14"/>
    <w:lvl w:ilvl="0" w:tplc="34285D1E">
      <w:start w:val="1"/>
      <w:numFmt w:val="decimal"/>
      <w:pStyle w:val="ListParagraphSub"/>
      <w:lvlText w:val="%1."/>
      <w:lvlJc w:val="left"/>
      <w:pPr>
        <w:ind w:left="28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303FA7"/>
    <w:multiLevelType w:val="hybridMultilevel"/>
    <w:tmpl w:val="656411BC"/>
    <w:name w:val="Notes"/>
    <w:lvl w:ilvl="0" w:tplc="B1C42CB6">
      <w:start w:val="1"/>
      <w:numFmt w:val="decimal"/>
      <w:pStyle w:val="Not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217AC5"/>
    <w:multiLevelType w:val="hybridMultilevel"/>
    <w:tmpl w:val="7AB63FAC"/>
    <w:name w:val="Heading22"/>
    <w:lvl w:ilvl="0" w:tplc="BCD0FF2A">
      <w:numFmt w:val="bullet"/>
      <w:lvlText w:val="•"/>
      <w:lvlJc w:val="left"/>
      <w:pPr>
        <w:ind w:left="182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9023EA"/>
    <w:multiLevelType w:val="multilevel"/>
    <w:tmpl w:val="19147AE6"/>
    <w:name w:val="Heading"/>
    <w:lvl w:ilvl="0">
      <w:start w:val="1"/>
      <w:numFmt w:val="decimal"/>
      <w:lvlRestart w:val="0"/>
      <w:pStyle w:val="Heading1"/>
      <w:suff w:val="space"/>
      <w:lvlText w:val="Item %1:"/>
      <w:lvlJc w:val="left"/>
      <w:pPr>
        <w:ind w:left="0" w:firstLine="0"/>
      </w:pPr>
      <w:rPr>
        <w:rFonts w:hint="default"/>
      </w:rPr>
    </w:lvl>
    <w:lvl w:ilvl="1">
      <w:start w:val="1"/>
      <w:numFmt w:val="decimal"/>
      <w:pStyle w:val="Heading2"/>
      <w:suff w:val="space"/>
      <w:lvlText w:val="%1.%2"/>
      <w:lvlJc w:val="left"/>
      <w:pPr>
        <w:ind w:left="0" w:firstLine="0"/>
      </w:pPr>
      <w:rPr>
        <w:rFonts w:hint="default"/>
        <w:b/>
        <w:i w:val="0"/>
      </w:rPr>
    </w:lvl>
    <w:lvl w:ilvl="2">
      <w:start w:val="1"/>
      <w:numFmt w:val="decimal"/>
      <w:pStyle w:val="Heading3"/>
      <w:lvlText w:val="(%3)"/>
      <w:lvlJc w:val="left"/>
      <w:pPr>
        <w:tabs>
          <w:tab w:val="num" w:pos="576"/>
        </w:tabs>
        <w:ind w:left="0" w:firstLine="0"/>
      </w:pPr>
      <w:rPr>
        <w:rFonts w:hint="default"/>
        <w:b/>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pStyle w:val="Heading6"/>
      <w:lvlText w:val="(%6)"/>
      <w:lvlJc w:val="left"/>
      <w:pPr>
        <w:tabs>
          <w:tab w:val="num" w:pos="2880"/>
        </w:tabs>
        <w:ind w:left="2880" w:hanging="720"/>
      </w:pPr>
      <w:rPr>
        <w:rFonts w:hint="default"/>
      </w:rPr>
    </w:lvl>
    <w:lvl w:ilvl="6">
      <w:start w:val="1"/>
      <w:numFmt w:val="lowerRoman"/>
      <w:pStyle w:val="Heading7"/>
      <w:lvlText w:val="%7."/>
      <w:lvlJc w:val="left"/>
      <w:pPr>
        <w:tabs>
          <w:tab w:val="num" w:pos="3600"/>
        </w:tabs>
        <w:ind w:left="3600" w:hanging="720"/>
      </w:pPr>
      <w:rPr>
        <w:rFonts w:hint="default"/>
      </w:rPr>
    </w:lvl>
    <w:lvl w:ilvl="7">
      <w:start w:val="1"/>
      <w:numFmt w:val="upperLetter"/>
      <w:pStyle w:val="Heading8"/>
      <w:lvlText w:val="%8."/>
      <w:lvlJc w:val="left"/>
      <w:pPr>
        <w:tabs>
          <w:tab w:val="num" w:pos="720"/>
        </w:tabs>
        <w:ind w:left="720" w:hanging="720"/>
      </w:pPr>
      <w:rPr>
        <w:rFonts w:hint="default"/>
      </w:rPr>
    </w:lvl>
    <w:lvl w:ilvl="8">
      <w:start w:val="1"/>
      <w:numFmt w:val="decimal"/>
      <w:pStyle w:val="Heading9"/>
      <w:lvlText w:val="%9."/>
      <w:lvlJc w:val="left"/>
      <w:pPr>
        <w:tabs>
          <w:tab w:val="num" w:pos="720"/>
        </w:tabs>
        <w:ind w:left="720" w:hanging="720"/>
      </w:pPr>
      <w:rPr>
        <w:rFonts w:hint="default"/>
        <w:b w:val="0"/>
        <w:i w:val="0"/>
      </w:rPr>
    </w:lvl>
  </w:abstractNum>
  <w:num w:numId="1">
    <w:abstractNumId w:val="14"/>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4"/>
  </w:num>
  <w:num w:numId="13">
    <w:abstractNumId w:val="10"/>
  </w:num>
  <w:num w:numId="14">
    <w:abstractNumId w:val="12"/>
  </w:num>
  <w:num w:numId="15">
    <w:abstractNumId w:val="15"/>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1"/>
    </w:lvlOverride>
    <w:lvlOverride w:ilvl="1">
      <w:startOverride w:val="1"/>
    </w:lvlOverride>
    <w:lvlOverride w:ilvl="2">
      <w:startOverride w:val="3"/>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9E"/>
    <w:rsid w:val="00017033"/>
    <w:rsid w:val="00070B1C"/>
    <w:rsid w:val="00083DA9"/>
    <w:rsid w:val="000E7CA2"/>
    <w:rsid w:val="001020DF"/>
    <w:rsid w:val="002532E9"/>
    <w:rsid w:val="002B2164"/>
    <w:rsid w:val="00327A88"/>
    <w:rsid w:val="0037518C"/>
    <w:rsid w:val="003D3343"/>
    <w:rsid w:val="00426851"/>
    <w:rsid w:val="004D0967"/>
    <w:rsid w:val="0053582D"/>
    <w:rsid w:val="005C78E0"/>
    <w:rsid w:val="00624F01"/>
    <w:rsid w:val="00736926"/>
    <w:rsid w:val="008135DE"/>
    <w:rsid w:val="0083623C"/>
    <w:rsid w:val="008918E6"/>
    <w:rsid w:val="008930D8"/>
    <w:rsid w:val="008B4BC7"/>
    <w:rsid w:val="008B722C"/>
    <w:rsid w:val="00965125"/>
    <w:rsid w:val="0098153E"/>
    <w:rsid w:val="009C4555"/>
    <w:rsid w:val="00A07AAB"/>
    <w:rsid w:val="00A17F6A"/>
    <w:rsid w:val="00A44DD6"/>
    <w:rsid w:val="00A51CFE"/>
    <w:rsid w:val="00A770AA"/>
    <w:rsid w:val="00A8789E"/>
    <w:rsid w:val="00AC34CC"/>
    <w:rsid w:val="00AD45F1"/>
    <w:rsid w:val="00B0553C"/>
    <w:rsid w:val="00B11A07"/>
    <w:rsid w:val="00B45714"/>
    <w:rsid w:val="00CB4BEB"/>
    <w:rsid w:val="00D93136"/>
    <w:rsid w:val="00DF4B3D"/>
    <w:rsid w:val="00E12703"/>
    <w:rsid w:val="00E665CE"/>
    <w:rsid w:val="00E71481"/>
    <w:rsid w:val="00ED26CD"/>
    <w:rsid w:val="00F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43"/>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3D3343"/>
    <w:pPr>
      <w:numPr>
        <w:numId w:val="10"/>
      </w:numPr>
      <w:spacing w:before="480" w:after="360"/>
      <w:outlineLvl w:val="0"/>
    </w:pPr>
    <w:rPr>
      <w:rFonts w:ascii="Times New Roman Bold" w:hAnsi="Times New Roman Bold"/>
      <w:b/>
    </w:rPr>
  </w:style>
  <w:style w:type="paragraph" w:styleId="Heading2">
    <w:name w:val="heading 2"/>
    <w:basedOn w:val="Normal"/>
    <w:link w:val="Heading2Char"/>
    <w:qFormat/>
    <w:rsid w:val="003D3343"/>
    <w:pPr>
      <w:numPr>
        <w:ilvl w:val="1"/>
        <w:numId w:val="10"/>
      </w:numPr>
      <w:spacing w:after="240"/>
      <w:outlineLvl w:val="1"/>
    </w:pPr>
  </w:style>
  <w:style w:type="paragraph" w:styleId="Heading3">
    <w:name w:val="heading 3"/>
    <w:basedOn w:val="Normal"/>
    <w:link w:val="Heading3Char"/>
    <w:qFormat/>
    <w:rsid w:val="003D3343"/>
    <w:pPr>
      <w:numPr>
        <w:ilvl w:val="2"/>
        <w:numId w:val="10"/>
      </w:numPr>
      <w:spacing w:after="240"/>
      <w:outlineLvl w:val="2"/>
    </w:pPr>
  </w:style>
  <w:style w:type="paragraph" w:styleId="Heading4">
    <w:name w:val="heading 4"/>
    <w:basedOn w:val="Normal"/>
    <w:link w:val="Heading4Char"/>
    <w:qFormat/>
    <w:rsid w:val="003D3343"/>
    <w:pPr>
      <w:numPr>
        <w:ilvl w:val="3"/>
        <w:numId w:val="10"/>
      </w:numPr>
      <w:spacing w:after="240"/>
      <w:outlineLvl w:val="3"/>
    </w:pPr>
  </w:style>
  <w:style w:type="paragraph" w:styleId="Heading5">
    <w:name w:val="heading 5"/>
    <w:basedOn w:val="Normal"/>
    <w:link w:val="Heading5Char"/>
    <w:qFormat/>
    <w:rsid w:val="003D3343"/>
    <w:pPr>
      <w:numPr>
        <w:ilvl w:val="4"/>
        <w:numId w:val="10"/>
      </w:numPr>
      <w:spacing w:after="240"/>
      <w:outlineLvl w:val="4"/>
    </w:pPr>
  </w:style>
  <w:style w:type="paragraph" w:styleId="Heading6">
    <w:name w:val="heading 6"/>
    <w:basedOn w:val="Normal"/>
    <w:link w:val="Heading6Char"/>
    <w:qFormat/>
    <w:rsid w:val="003D3343"/>
    <w:pPr>
      <w:numPr>
        <w:ilvl w:val="5"/>
        <w:numId w:val="10"/>
      </w:numPr>
      <w:spacing w:after="240"/>
      <w:outlineLvl w:val="5"/>
    </w:pPr>
  </w:style>
  <w:style w:type="paragraph" w:styleId="Heading7">
    <w:name w:val="heading 7"/>
    <w:basedOn w:val="Normal"/>
    <w:link w:val="Heading7Char"/>
    <w:qFormat/>
    <w:rsid w:val="003D3343"/>
    <w:pPr>
      <w:numPr>
        <w:ilvl w:val="6"/>
        <w:numId w:val="10"/>
      </w:numPr>
      <w:spacing w:after="240"/>
      <w:outlineLvl w:val="6"/>
    </w:pPr>
  </w:style>
  <w:style w:type="paragraph" w:styleId="Heading8">
    <w:name w:val="heading 8"/>
    <w:basedOn w:val="Normal"/>
    <w:link w:val="Heading8Char"/>
    <w:qFormat/>
    <w:rsid w:val="003D3343"/>
    <w:pPr>
      <w:keepNext/>
      <w:numPr>
        <w:ilvl w:val="7"/>
        <w:numId w:val="10"/>
      </w:numPr>
      <w:spacing w:after="240"/>
      <w:outlineLvl w:val="7"/>
    </w:pPr>
    <w:rPr>
      <w:b/>
    </w:rPr>
  </w:style>
  <w:style w:type="paragraph" w:styleId="Heading9">
    <w:name w:val="heading 9"/>
    <w:basedOn w:val="Normal"/>
    <w:link w:val="Heading9Char"/>
    <w:qFormat/>
    <w:rsid w:val="002532E9"/>
    <w:pPr>
      <w:numPr>
        <w:ilvl w:val="8"/>
        <w:numId w:val="1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3D3343"/>
  </w:style>
  <w:style w:type="paragraph" w:customStyle="1" w:styleId="ASCBullet2">
    <w:name w:val="ASC Bullet 2"/>
    <w:basedOn w:val="ASCBullet1"/>
    <w:rsid w:val="003D3343"/>
  </w:style>
  <w:style w:type="paragraph" w:customStyle="1" w:styleId="ASCBullet3">
    <w:name w:val="ASC Bullet 3"/>
    <w:basedOn w:val="ASCBullet2"/>
    <w:rsid w:val="003D3343"/>
  </w:style>
  <w:style w:type="paragraph" w:customStyle="1" w:styleId="ASCBullet4">
    <w:name w:val="ASC Bullet 4"/>
    <w:basedOn w:val="ASCBullet3"/>
    <w:rsid w:val="003D3343"/>
  </w:style>
  <w:style w:type="paragraph" w:customStyle="1" w:styleId="ASCBullet5">
    <w:name w:val="ASC Bullet 5"/>
    <w:basedOn w:val="ASCBullet4"/>
    <w:rsid w:val="003D3343"/>
  </w:style>
  <w:style w:type="paragraph" w:customStyle="1" w:styleId="ASCBullet6">
    <w:name w:val="ASC Bullet 6"/>
    <w:basedOn w:val="ASCBullet5"/>
    <w:rsid w:val="003D3343"/>
  </w:style>
  <w:style w:type="paragraph" w:customStyle="1" w:styleId="ASCBullet7">
    <w:name w:val="ASC Bullet 7"/>
    <w:basedOn w:val="ASCBullet6"/>
    <w:rsid w:val="003D3343"/>
  </w:style>
  <w:style w:type="paragraph" w:customStyle="1" w:styleId="ASCBullet8">
    <w:name w:val="ASC Bullet 8"/>
    <w:basedOn w:val="ASCBullet7"/>
    <w:rsid w:val="003D3343"/>
  </w:style>
  <w:style w:type="paragraph" w:customStyle="1" w:styleId="ASCBullet9">
    <w:name w:val="ASC Bullet 9"/>
    <w:basedOn w:val="ASCBullet8"/>
    <w:rsid w:val="003D3343"/>
  </w:style>
  <w:style w:type="paragraph" w:styleId="BodyText">
    <w:name w:val="Body Text"/>
    <w:basedOn w:val="Normal"/>
    <w:link w:val="BodyTextChar"/>
    <w:semiHidden/>
    <w:rsid w:val="003D3343"/>
    <w:pPr>
      <w:spacing w:after="240"/>
    </w:pPr>
  </w:style>
  <w:style w:type="character" w:customStyle="1" w:styleId="BodyTextChar">
    <w:name w:val="Body Text Char"/>
    <w:basedOn w:val="DefaultParagraphFont"/>
    <w:link w:val="BodyText"/>
    <w:semiHidden/>
    <w:rsid w:val="003D3343"/>
    <w:rPr>
      <w:rFonts w:ascii="Times New Roman" w:hAnsi="Times New Roman" w:cs="Times New Roman"/>
      <w:sz w:val="24"/>
      <w:szCs w:val="20"/>
      <w:lang w:val="en-CA"/>
    </w:rPr>
  </w:style>
  <w:style w:type="paragraph" w:styleId="Footer">
    <w:name w:val="footer"/>
    <w:basedOn w:val="Normal"/>
    <w:link w:val="FooterChar"/>
    <w:semiHidden/>
    <w:rsid w:val="003D3343"/>
    <w:pPr>
      <w:tabs>
        <w:tab w:val="center" w:pos="4320"/>
        <w:tab w:val="right" w:pos="8640"/>
      </w:tabs>
    </w:pPr>
  </w:style>
  <w:style w:type="character" w:customStyle="1" w:styleId="FooterChar">
    <w:name w:val="Footer Char"/>
    <w:basedOn w:val="DefaultParagraphFont"/>
    <w:link w:val="Footer"/>
    <w:semiHidden/>
    <w:rsid w:val="003D3343"/>
    <w:rPr>
      <w:rFonts w:ascii="Times New Roman" w:hAnsi="Times New Roman" w:cs="Times New Roman"/>
      <w:sz w:val="24"/>
      <w:szCs w:val="20"/>
      <w:lang w:val="en-CA"/>
    </w:rPr>
  </w:style>
  <w:style w:type="paragraph" w:styleId="Header">
    <w:name w:val="header"/>
    <w:basedOn w:val="Normal"/>
    <w:link w:val="HeaderChar"/>
    <w:uiPriority w:val="99"/>
    <w:rsid w:val="003D3343"/>
    <w:pPr>
      <w:tabs>
        <w:tab w:val="center" w:pos="4680"/>
        <w:tab w:val="right" w:pos="9360"/>
      </w:tabs>
    </w:pPr>
  </w:style>
  <w:style w:type="character" w:customStyle="1" w:styleId="HeaderChar">
    <w:name w:val="Header Char"/>
    <w:basedOn w:val="DefaultParagraphFont"/>
    <w:link w:val="Header"/>
    <w:uiPriority w:val="99"/>
    <w:rsid w:val="003D3343"/>
    <w:rPr>
      <w:rFonts w:ascii="Times New Roman" w:hAnsi="Times New Roman" w:cs="Times New Roman"/>
      <w:sz w:val="24"/>
      <w:szCs w:val="20"/>
      <w:lang w:val="en-CA"/>
    </w:rPr>
  </w:style>
  <w:style w:type="character" w:customStyle="1" w:styleId="Heading1Char">
    <w:name w:val="Heading 1 Char"/>
    <w:basedOn w:val="DefaultParagraphFont"/>
    <w:link w:val="Heading1"/>
    <w:rsid w:val="003D3343"/>
    <w:rPr>
      <w:rFonts w:ascii="Times New Roman Bold" w:hAnsi="Times New Roman Bold" w:cs="Times New Roman"/>
      <w:b/>
      <w:sz w:val="24"/>
      <w:szCs w:val="20"/>
      <w:lang w:val="en-CA"/>
    </w:rPr>
  </w:style>
  <w:style w:type="character" w:customStyle="1" w:styleId="Heading2Char">
    <w:name w:val="Heading 2 Char"/>
    <w:basedOn w:val="DefaultParagraphFont"/>
    <w:link w:val="Heading2"/>
    <w:rsid w:val="003D3343"/>
    <w:rPr>
      <w:rFonts w:ascii="Times New Roman" w:hAnsi="Times New Roman" w:cs="Times New Roman"/>
      <w:sz w:val="24"/>
      <w:szCs w:val="20"/>
      <w:lang w:val="en-CA"/>
    </w:rPr>
  </w:style>
  <w:style w:type="character" w:customStyle="1" w:styleId="Heading3Char">
    <w:name w:val="Heading 3 Char"/>
    <w:basedOn w:val="DefaultParagraphFont"/>
    <w:link w:val="Heading3"/>
    <w:rsid w:val="003D3343"/>
    <w:rPr>
      <w:rFonts w:ascii="Times New Roman" w:hAnsi="Times New Roman" w:cs="Times New Roman"/>
      <w:sz w:val="24"/>
      <w:szCs w:val="20"/>
      <w:lang w:val="en-CA"/>
    </w:rPr>
  </w:style>
  <w:style w:type="character" w:customStyle="1" w:styleId="Heading4Char">
    <w:name w:val="Heading 4 Char"/>
    <w:basedOn w:val="DefaultParagraphFont"/>
    <w:link w:val="Heading4"/>
    <w:rsid w:val="003D3343"/>
    <w:rPr>
      <w:rFonts w:ascii="Times New Roman" w:hAnsi="Times New Roman" w:cs="Times New Roman"/>
      <w:sz w:val="24"/>
      <w:szCs w:val="20"/>
      <w:lang w:val="en-CA"/>
    </w:rPr>
  </w:style>
  <w:style w:type="character" w:customStyle="1" w:styleId="Heading5Char">
    <w:name w:val="Heading 5 Char"/>
    <w:basedOn w:val="DefaultParagraphFont"/>
    <w:link w:val="Heading5"/>
    <w:rsid w:val="003D3343"/>
    <w:rPr>
      <w:rFonts w:ascii="Times New Roman" w:hAnsi="Times New Roman" w:cs="Times New Roman"/>
      <w:sz w:val="24"/>
      <w:szCs w:val="20"/>
      <w:lang w:val="en-CA"/>
    </w:rPr>
  </w:style>
  <w:style w:type="character" w:customStyle="1" w:styleId="Heading6Char">
    <w:name w:val="Heading 6 Char"/>
    <w:basedOn w:val="DefaultParagraphFont"/>
    <w:link w:val="Heading6"/>
    <w:rsid w:val="003D3343"/>
    <w:rPr>
      <w:rFonts w:ascii="Times New Roman" w:hAnsi="Times New Roman" w:cs="Times New Roman"/>
      <w:sz w:val="24"/>
      <w:szCs w:val="20"/>
      <w:lang w:val="en-CA"/>
    </w:rPr>
  </w:style>
  <w:style w:type="character" w:customStyle="1" w:styleId="Heading7Char">
    <w:name w:val="Heading 7 Char"/>
    <w:basedOn w:val="DefaultParagraphFont"/>
    <w:link w:val="Heading7"/>
    <w:rsid w:val="003D3343"/>
    <w:rPr>
      <w:rFonts w:ascii="Times New Roman" w:hAnsi="Times New Roman" w:cs="Times New Roman"/>
      <w:sz w:val="24"/>
      <w:szCs w:val="20"/>
      <w:lang w:val="en-CA"/>
    </w:rPr>
  </w:style>
  <w:style w:type="character" w:customStyle="1" w:styleId="Heading8Char">
    <w:name w:val="Heading 8 Char"/>
    <w:basedOn w:val="DefaultParagraphFont"/>
    <w:link w:val="Heading8"/>
    <w:rsid w:val="003D3343"/>
    <w:rPr>
      <w:rFonts w:ascii="Times New Roman" w:hAnsi="Times New Roman" w:cs="Times New Roman"/>
      <w:b/>
      <w:sz w:val="24"/>
      <w:szCs w:val="20"/>
      <w:lang w:val="en-CA"/>
    </w:rPr>
  </w:style>
  <w:style w:type="character" w:customStyle="1" w:styleId="Heading9Char">
    <w:name w:val="Heading 9 Char"/>
    <w:basedOn w:val="DefaultParagraphFont"/>
    <w:link w:val="Heading9"/>
    <w:rsid w:val="002532E9"/>
    <w:rPr>
      <w:rFonts w:ascii="Times New Roman" w:hAnsi="Times New Roman" w:cs="Times New Roman"/>
      <w:sz w:val="24"/>
      <w:szCs w:val="20"/>
      <w:lang w:val="en-CA"/>
    </w:rPr>
  </w:style>
  <w:style w:type="paragraph" w:customStyle="1" w:styleId="IndentDouble">
    <w:name w:val="Indent (Double)"/>
    <w:aliases w:val="D2"/>
    <w:basedOn w:val="Normal"/>
    <w:next w:val="Normal"/>
    <w:rsid w:val="003D3343"/>
    <w:pPr>
      <w:spacing w:after="240"/>
      <w:ind w:left="1430"/>
    </w:pPr>
  </w:style>
  <w:style w:type="paragraph" w:customStyle="1" w:styleId="IndentSingle">
    <w:name w:val="Indent (Single)"/>
    <w:aliases w:val="D1"/>
    <w:basedOn w:val="Normal"/>
    <w:next w:val="Normal"/>
    <w:rsid w:val="003D3343"/>
    <w:pPr>
      <w:spacing w:after="240"/>
      <w:ind w:left="720"/>
    </w:pPr>
  </w:style>
  <w:style w:type="paragraph" w:customStyle="1" w:styleId="Notes">
    <w:name w:val="Notes"/>
    <w:basedOn w:val="Normal"/>
    <w:rsid w:val="003D3343"/>
    <w:pPr>
      <w:numPr>
        <w:numId w:val="12"/>
      </w:numPr>
      <w:spacing w:after="180"/>
    </w:pPr>
    <w:rPr>
      <w:sz w:val="18"/>
    </w:rPr>
  </w:style>
  <w:style w:type="paragraph" w:customStyle="1" w:styleId="Quotation">
    <w:name w:val="Quotation"/>
    <w:basedOn w:val="Normal"/>
    <w:rsid w:val="003D3343"/>
    <w:pPr>
      <w:ind w:left="720" w:right="720"/>
      <w:jc w:val="both"/>
    </w:pPr>
    <w:rPr>
      <w:sz w:val="22"/>
      <w:szCs w:val="24"/>
    </w:rPr>
  </w:style>
  <w:style w:type="paragraph" w:styleId="Signature">
    <w:name w:val="Signature"/>
    <w:basedOn w:val="Normal"/>
    <w:next w:val="Normal"/>
    <w:link w:val="SignatureChar"/>
    <w:semiHidden/>
    <w:rsid w:val="003D3343"/>
    <w:pPr>
      <w:pBdr>
        <w:top w:val="single" w:sz="4" w:space="1" w:color="auto"/>
      </w:pBdr>
      <w:ind w:left="5040"/>
    </w:pPr>
  </w:style>
  <w:style w:type="character" w:customStyle="1" w:styleId="SignatureChar">
    <w:name w:val="Signature Char"/>
    <w:basedOn w:val="DefaultParagraphFont"/>
    <w:link w:val="Signature"/>
    <w:semiHidden/>
    <w:rsid w:val="003D3343"/>
    <w:rPr>
      <w:rFonts w:ascii="Times New Roman" w:hAnsi="Times New Roman" w:cs="Times New Roman"/>
      <w:sz w:val="24"/>
      <w:szCs w:val="20"/>
      <w:lang w:val="en-CA"/>
    </w:rPr>
  </w:style>
  <w:style w:type="numbering" w:customStyle="1" w:styleId="Standard">
    <w:name w:val="Standard"/>
    <w:uiPriority w:val="99"/>
    <w:rsid w:val="003D3343"/>
  </w:style>
  <w:style w:type="character" w:styleId="Hyperlink">
    <w:name w:val="Hyperlink"/>
    <w:rsid w:val="00A8789E"/>
    <w:rPr>
      <w:noProof w:val="0"/>
      <w:color w:val="0000FF"/>
      <w:u w:val="single"/>
    </w:rPr>
  </w:style>
  <w:style w:type="character" w:styleId="FootnoteReference">
    <w:name w:val="footnote reference"/>
    <w:rsid w:val="003D3343"/>
    <w:rPr>
      <w:noProof w:val="0"/>
    </w:rPr>
  </w:style>
  <w:style w:type="paragraph" w:styleId="FootnoteText">
    <w:name w:val="footnote text"/>
    <w:rsid w:val="003D3343"/>
  </w:style>
  <w:style w:type="paragraph" w:styleId="BalloonText">
    <w:name w:val="Balloon Text"/>
    <w:basedOn w:val="Normal"/>
    <w:link w:val="BalloonTextChar"/>
    <w:uiPriority w:val="99"/>
    <w:semiHidden/>
    <w:unhideWhenUsed/>
    <w:rsid w:val="003D3343"/>
    <w:rPr>
      <w:rFonts w:ascii="Tahoma" w:hAnsi="Tahoma" w:cs="Tahoma"/>
      <w:sz w:val="16"/>
      <w:szCs w:val="16"/>
    </w:rPr>
  </w:style>
  <w:style w:type="character" w:customStyle="1" w:styleId="BalloonTextChar">
    <w:name w:val="Balloon Text Char"/>
    <w:basedOn w:val="DefaultParagraphFont"/>
    <w:link w:val="BalloonText"/>
    <w:uiPriority w:val="99"/>
    <w:semiHidden/>
    <w:rsid w:val="003D3343"/>
    <w:rPr>
      <w:rFonts w:ascii="Tahoma" w:hAnsi="Tahoma" w:cs="Tahoma"/>
      <w:sz w:val="16"/>
      <w:szCs w:val="16"/>
      <w:lang w:val="en-CA"/>
    </w:rPr>
  </w:style>
  <w:style w:type="paragraph" w:styleId="ListParagraph">
    <w:name w:val="List Paragraph"/>
    <w:basedOn w:val="Normal"/>
    <w:uiPriority w:val="34"/>
    <w:qFormat/>
    <w:rsid w:val="003D3343"/>
    <w:pPr>
      <w:ind w:left="720"/>
      <w:contextualSpacing/>
    </w:pPr>
  </w:style>
  <w:style w:type="paragraph" w:customStyle="1" w:styleId="ListParagraphSub">
    <w:name w:val="List Paragraph (Sub)"/>
    <w:basedOn w:val="ListParagraph"/>
    <w:qFormat/>
    <w:rsid w:val="003D3343"/>
    <w:pPr>
      <w:numPr>
        <w:numId w:val="11"/>
      </w:numPr>
    </w:pPr>
  </w:style>
  <w:style w:type="paragraph" w:styleId="Subtitle">
    <w:name w:val="Subtitle"/>
    <w:basedOn w:val="Normal"/>
    <w:next w:val="Normal"/>
    <w:link w:val="SubtitleChar"/>
    <w:uiPriority w:val="11"/>
    <w:qFormat/>
    <w:rsid w:val="003D3343"/>
    <w:pPr>
      <w:spacing w:after="60"/>
    </w:pPr>
  </w:style>
  <w:style w:type="character" w:customStyle="1" w:styleId="SubtitleChar">
    <w:name w:val="Subtitle Char"/>
    <w:basedOn w:val="DefaultParagraphFont"/>
    <w:link w:val="Subtitle"/>
    <w:uiPriority w:val="11"/>
    <w:rsid w:val="003D3343"/>
    <w:rPr>
      <w:rFonts w:ascii="Times New Roman" w:hAnsi="Times New Roman" w:cs="Times New Roman"/>
      <w:sz w:val="24"/>
      <w:szCs w:val="20"/>
      <w:lang w:val="en-CA"/>
    </w:rPr>
  </w:style>
  <w:style w:type="paragraph" w:styleId="Title">
    <w:name w:val="Title"/>
    <w:basedOn w:val="Normal"/>
    <w:next w:val="Normal"/>
    <w:link w:val="TitleChar"/>
    <w:uiPriority w:val="10"/>
    <w:qFormat/>
    <w:rsid w:val="008B4BC7"/>
    <w:pPr>
      <w:spacing w:before="360" w:after="120"/>
    </w:pPr>
    <w:rPr>
      <w:b/>
      <w:bCs/>
    </w:rPr>
  </w:style>
  <w:style w:type="character" w:customStyle="1" w:styleId="TitleChar">
    <w:name w:val="Title Char"/>
    <w:basedOn w:val="DefaultParagraphFont"/>
    <w:link w:val="Title"/>
    <w:uiPriority w:val="10"/>
    <w:rsid w:val="008B4BC7"/>
    <w:rPr>
      <w:rFonts w:ascii="Times New Roman" w:hAnsi="Times New Roman" w:cs="Times New Roman"/>
      <w:b/>
      <w:bCs/>
      <w:sz w:val="24"/>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43"/>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3D3343"/>
    <w:pPr>
      <w:numPr>
        <w:numId w:val="10"/>
      </w:numPr>
      <w:spacing w:before="480" w:after="360"/>
      <w:outlineLvl w:val="0"/>
    </w:pPr>
    <w:rPr>
      <w:rFonts w:ascii="Times New Roman Bold" w:hAnsi="Times New Roman Bold"/>
      <w:b/>
    </w:rPr>
  </w:style>
  <w:style w:type="paragraph" w:styleId="Heading2">
    <w:name w:val="heading 2"/>
    <w:basedOn w:val="Normal"/>
    <w:link w:val="Heading2Char"/>
    <w:qFormat/>
    <w:rsid w:val="003D3343"/>
    <w:pPr>
      <w:numPr>
        <w:ilvl w:val="1"/>
        <w:numId w:val="10"/>
      </w:numPr>
      <w:spacing w:after="240"/>
      <w:outlineLvl w:val="1"/>
    </w:pPr>
  </w:style>
  <w:style w:type="paragraph" w:styleId="Heading3">
    <w:name w:val="heading 3"/>
    <w:basedOn w:val="Normal"/>
    <w:link w:val="Heading3Char"/>
    <w:qFormat/>
    <w:rsid w:val="003D3343"/>
    <w:pPr>
      <w:numPr>
        <w:ilvl w:val="2"/>
        <w:numId w:val="10"/>
      </w:numPr>
      <w:spacing w:after="240"/>
      <w:outlineLvl w:val="2"/>
    </w:pPr>
  </w:style>
  <w:style w:type="paragraph" w:styleId="Heading4">
    <w:name w:val="heading 4"/>
    <w:basedOn w:val="Normal"/>
    <w:link w:val="Heading4Char"/>
    <w:qFormat/>
    <w:rsid w:val="003D3343"/>
    <w:pPr>
      <w:numPr>
        <w:ilvl w:val="3"/>
        <w:numId w:val="10"/>
      </w:numPr>
      <w:spacing w:after="240"/>
      <w:outlineLvl w:val="3"/>
    </w:pPr>
  </w:style>
  <w:style w:type="paragraph" w:styleId="Heading5">
    <w:name w:val="heading 5"/>
    <w:basedOn w:val="Normal"/>
    <w:link w:val="Heading5Char"/>
    <w:qFormat/>
    <w:rsid w:val="003D3343"/>
    <w:pPr>
      <w:numPr>
        <w:ilvl w:val="4"/>
        <w:numId w:val="10"/>
      </w:numPr>
      <w:spacing w:after="240"/>
      <w:outlineLvl w:val="4"/>
    </w:pPr>
  </w:style>
  <w:style w:type="paragraph" w:styleId="Heading6">
    <w:name w:val="heading 6"/>
    <w:basedOn w:val="Normal"/>
    <w:link w:val="Heading6Char"/>
    <w:qFormat/>
    <w:rsid w:val="003D3343"/>
    <w:pPr>
      <w:numPr>
        <w:ilvl w:val="5"/>
        <w:numId w:val="10"/>
      </w:numPr>
      <w:spacing w:after="240"/>
      <w:outlineLvl w:val="5"/>
    </w:pPr>
  </w:style>
  <w:style w:type="paragraph" w:styleId="Heading7">
    <w:name w:val="heading 7"/>
    <w:basedOn w:val="Normal"/>
    <w:link w:val="Heading7Char"/>
    <w:qFormat/>
    <w:rsid w:val="003D3343"/>
    <w:pPr>
      <w:numPr>
        <w:ilvl w:val="6"/>
        <w:numId w:val="10"/>
      </w:numPr>
      <w:spacing w:after="240"/>
      <w:outlineLvl w:val="6"/>
    </w:pPr>
  </w:style>
  <w:style w:type="paragraph" w:styleId="Heading8">
    <w:name w:val="heading 8"/>
    <w:basedOn w:val="Normal"/>
    <w:link w:val="Heading8Char"/>
    <w:qFormat/>
    <w:rsid w:val="003D3343"/>
    <w:pPr>
      <w:keepNext/>
      <w:numPr>
        <w:ilvl w:val="7"/>
        <w:numId w:val="10"/>
      </w:numPr>
      <w:spacing w:after="240"/>
      <w:outlineLvl w:val="7"/>
    </w:pPr>
    <w:rPr>
      <w:b/>
    </w:rPr>
  </w:style>
  <w:style w:type="paragraph" w:styleId="Heading9">
    <w:name w:val="heading 9"/>
    <w:basedOn w:val="Normal"/>
    <w:link w:val="Heading9Char"/>
    <w:qFormat/>
    <w:rsid w:val="002532E9"/>
    <w:pPr>
      <w:numPr>
        <w:ilvl w:val="8"/>
        <w:numId w:val="1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3D3343"/>
  </w:style>
  <w:style w:type="paragraph" w:customStyle="1" w:styleId="ASCBullet2">
    <w:name w:val="ASC Bullet 2"/>
    <w:basedOn w:val="ASCBullet1"/>
    <w:rsid w:val="003D3343"/>
  </w:style>
  <w:style w:type="paragraph" w:customStyle="1" w:styleId="ASCBullet3">
    <w:name w:val="ASC Bullet 3"/>
    <w:basedOn w:val="ASCBullet2"/>
    <w:rsid w:val="003D3343"/>
  </w:style>
  <w:style w:type="paragraph" w:customStyle="1" w:styleId="ASCBullet4">
    <w:name w:val="ASC Bullet 4"/>
    <w:basedOn w:val="ASCBullet3"/>
    <w:rsid w:val="003D3343"/>
  </w:style>
  <w:style w:type="paragraph" w:customStyle="1" w:styleId="ASCBullet5">
    <w:name w:val="ASC Bullet 5"/>
    <w:basedOn w:val="ASCBullet4"/>
    <w:rsid w:val="003D3343"/>
  </w:style>
  <w:style w:type="paragraph" w:customStyle="1" w:styleId="ASCBullet6">
    <w:name w:val="ASC Bullet 6"/>
    <w:basedOn w:val="ASCBullet5"/>
    <w:rsid w:val="003D3343"/>
  </w:style>
  <w:style w:type="paragraph" w:customStyle="1" w:styleId="ASCBullet7">
    <w:name w:val="ASC Bullet 7"/>
    <w:basedOn w:val="ASCBullet6"/>
    <w:rsid w:val="003D3343"/>
  </w:style>
  <w:style w:type="paragraph" w:customStyle="1" w:styleId="ASCBullet8">
    <w:name w:val="ASC Bullet 8"/>
    <w:basedOn w:val="ASCBullet7"/>
    <w:rsid w:val="003D3343"/>
  </w:style>
  <w:style w:type="paragraph" w:customStyle="1" w:styleId="ASCBullet9">
    <w:name w:val="ASC Bullet 9"/>
    <w:basedOn w:val="ASCBullet8"/>
    <w:rsid w:val="003D3343"/>
  </w:style>
  <w:style w:type="paragraph" w:styleId="BodyText">
    <w:name w:val="Body Text"/>
    <w:basedOn w:val="Normal"/>
    <w:link w:val="BodyTextChar"/>
    <w:semiHidden/>
    <w:rsid w:val="003D3343"/>
    <w:pPr>
      <w:spacing w:after="240"/>
    </w:pPr>
  </w:style>
  <w:style w:type="character" w:customStyle="1" w:styleId="BodyTextChar">
    <w:name w:val="Body Text Char"/>
    <w:basedOn w:val="DefaultParagraphFont"/>
    <w:link w:val="BodyText"/>
    <w:semiHidden/>
    <w:rsid w:val="003D3343"/>
    <w:rPr>
      <w:rFonts w:ascii="Times New Roman" w:hAnsi="Times New Roman" w:cs="Times New Roman"/>
      <w:sz w:val="24"/>
      <w:szCs w:val="20"/>
      <w:lang w:val="en-CA"/>
    </w:rPr>
  </w:style>
  <w:style w:type="paragraph" w:styleId="Footer">
    <w:name w:val="footer"/>
    <w:basedOn w:val="Normal"/>
    <w:link w:val="FooterChar"/>
    <w:semiHidden/>
    <w:rsid w:val="003D3343"/>
    <w:pPr>
      <w:tabs>
        <w:tab w:val="center" w:pos="4320"/>
        <w:tab w:val="right" w:pos="8640"/>
      </w:tabs>
    </w:pPr>
  </w:style>
  <w:style w:type="character" w:customStyle="1" w:styleId="FooterChar">
    <w:name w:val="Footer Char"/>
    <w:basedOn w:val="DefaultParagraphFont"/>
    <w:link w:val="Footer"/>
    <w:semiHidden/>
    <w:rsid w:val="003D3343"/>
    <w:rPr>
      <w:rFonts w:ascii="Times New Roman" w:hAnsi="Times New Roman" w:cs="Times New Roman"/>
      <w:sz w:val="24"/>
      <w:szCs w:val="20"/>
      <w:lang w:val="en-CA"/>
    </w:rPr>
  </w:style>
  <w:style w:type="paragraph" w:styleId="Header">
    <w:name w:val="header"/>
    <w:basedOn w:val="Normal"/>
    <w:link w:val="HeaderChar"/>
    <w:uiPriority w:val="99"/>
    <w:rsid w:val="003D3343"/>
    <w:pPr>
      <w:tabs>
        <w:tab w:val="center" w:pos="4680"/>
        <w:tab w:val="right" w:pos="9360"/>
      </w:tabs>
    </w:pPr>
  </w:style>
  <w:style w:type="character" w:customStyle="1" w:styleId="HeaderChar">
    <w:name w:val="Header Char"/>
    <w:basedOn w:val="DefaultParagraphFont"/>
    <w:link w:val="Header"/>
    <w:uiPriority w:val="99"/>
    <w:rsid w:val="003D3343"/>
    <w:rPr>
      <w:rFonts w:ascii="Times New Roman" w:hAnsi="Times New Roman" w:cs="Times New Roman"/>
      <w:sz w:val="24"/>
      <w:szCs w:val="20"/>
      <w:lang w:val="en-CA"/>
    </w:rPr>
  </w:style>
  <w:style w:type="character" w:customStyle="1" w:styleId="Heading1Char">
    <w:name w:val="Heading 1 Char"/>
    <w:basedOn w:val="DefaultParagraphFont"/>
    <w:link w:val="Heading1"/>
    <w:rsid w:val="003D3343"/>
    <w:rPr>
      <w:rFonts w:ascii="Times New Roman Bold" w:hAnsi="Times New Roman Bold" w:cs="Times New Roman"/>
      <w:b/>
      <w:sz w:val="24"/>
      <w:szCs w:val="20"/>
      <w:lang w:val="en-CA"/>
    </w:rPr>
  </w:style>
  <w:style w:type="character" w:customStyle="1" w:styleId="Heading2Char">
    <w:name w:val="Heading 2 Char"/>
    <w:basedOn w:val="DefaultParagraphFont"/>
    <w:link w:val="Heading2"/>
    <w:rsid w:val="003D3343"/>
    <w:rPr>
      <w:rFonts w:ascii="Times New Roman" w:hAnsi="Times New Roman" w:cs="Times New Roman"/>
      <w:sz w:val="24"/>
      <w:szCs w:val="20"/>
      <w:lang w:val="en-CA"/>
    </w:rPr>
  </w:style>
  <w:style w:type="character" w:customStyle="1" w:styleId="Heading3Char">
    <w:name w:val="Heading 3 Char"/>
    <w:basedOn w:val="DefaultParagraphFont"/>
    <w:link w:val="Heading3"/>
    <w:rsid w:val="003D3343"/>
    <w:rPr>
      <w:rFonts w:ascii="Times New Roman" w:hAnsi="Times New Roman" w:cs="Times New Roman"/>
      <w:sz w:val="24"/>
      <w:szCs w:val="20"/>
      <w:lang w:val="en-CA"/>
    </w:rPr>
  </w:style>
  <w:style w:type="character" w:customStyle="1" w:styleId="Heading4Char">
    <w:name w:val="Heading 4 Char"/>
    <w:basedOn w:val="DefaultParagraphFont"/>
    <w:link w:val="Heading4"/>
    <w:rsid w:val="003D3343"/>
    <w:rPr>
      <w:rFonts w:ascii="Times New Roman" w:hAnsi="Times New Roman" w:cs="Times New Roman"/>
      <w:sz w:val="24"/>
      <w:szCs w:val="20"/>
      <w:lang w:val="en-CA"/>
    </w:rPr>
  </w:style>
  <w:style w:type="character" w:customStyle="1" w:styleId="Heading5Char">
    <w:name w:val="Heading 5 Char"/>
    <w:basedOn w:val="DefaultParagraphFont"/>
    <w:link w:val="Heading5"/>
    <w:rsid w:val="003D3343"/>
    <w:rPr>
      <w:rFonts w:ascii="Times New Roman" w:hAnsi="Times New Roman" w:cs="Times New Roman"/>
      <w:sz w:val="24"/>
      <w:szCs w:val="20"/>
      <w:lang w:val="en-CA"/>
    </w:rPr>
  </w:style>
  <w:style w:type="character" w:customStyle="1" w:styleId="Heading6Char">
    <w:name w:val="Heading 6 Char"/>
    <w:basedOn w:val="DefaultParagraphFont"/>
    <w:link w:val="Heading6"/>
    <w:rsid w:val="003D3343"/>
    <w:rPr>
      <w:rFonts w:ascii="Times New Roman" w:hAnsi="Times New Roman" w:cs="Times New Roman"/>
      <w:sz w:val="24"/>
      <w:szCs w:val="20"/>
      <w:lang w:val="en-CA"/>
    </w:rPr>
  </w:style>
  <w:style w:type="character" w:customStyle="1" w:styleId="Heading7Char">
    <w:name w:val="Heading 7 Char"/>
    <w:basedOn w:val="DefaultParagraphFont"/>
    <w:link w:val="Heading7"/>
    <w:rsid w:val="003D3343"/>
    <w:rPr>
      <w:rFonts w:ascii="Times New Roman" w:hAnsi="Times New Roman" w:cs="Times New Roman"/>
      <w:sz w:val="24"/>
      <w:szCs w:val="20"/>
      <w:lang w:val="en-CA"/>
    </w:rPr>
  </w:style>
  <w:style w:type="character" w:customStyle="1" w:styleId="Heading8Char">
    <w:name w:val="Heading 8 Char"/>
    <w:basedOn w:val="DefaultParagraphFont"/>
    <w:link w:val="Heading8"/>
    <w:rsid w:val="003D3343"/>
    <w:rPr>
      <w:rFonts w:ascii="Times New Roman" w:hAnsi="Times New Roman" w:cs="Times New Roman"/>
      <w:b/>
      <w:sz w:val="24"/>
      <w:szCs w:val="20"/>
      <w:lang w:val="en-CA"/>
    </w:rPr>
  </w:style>
  <w:style w:type="character" w:customStyle="1" w:styleId="Heading9Char">
    <w:name w:val="Heading 9 Char"/>
    <w:basedOn w:val="DefaultParagraphFont"/>
    <w:link w:val="Heading9"/>
    <w:rsid w:val="002532E9"/>
    <w:rPr>
      <w:rFonts w:ascii="Times New Roman" w:hAnsi="Times New Roman" w:cs="Times New Roman"/>
      <w:sz w:val="24"/>
      <w:szCs w:val="20"/>
      <w:lang w:val="en-CA"/>
    </w:rPr>
  </w:style>
  <w:style w:type="paragraph" w:customStyle="1" w:styleId="IndentDouble">
    <w:name w:val="Indent (Double)"/>
    <w:aliases w:val="D2"/>
    <w:basedOn w:val="Normal"/>
    <w:next w:val="Normal"/>
    <w:rsid w:val="003D3343"/>
    <w:pPr>
      <w:spacing w:after="240"/>
      <w:ind w:left="1430"/>
    </w:pPr>
  </w:style>
  <w:style w:type="paragraph" w:customStyle="1" w:styleId="IndentSingle">
    <w:name w:val="Indent (Single)"/>
    <w:aliases w:val="D1"/>
    <w:basedOn w:val="Normal"/>
    <w:next w:val="Normal"/>
    <w:rsid w:val="003D3343"/>
    <w:pPr>
      <w:spacing w:after="240"/>
      <w:ind w:left="720"/>
    </w:pPr>
  </w:style>
  <w:style w:type="paragraph" w:customStyle="1" w:styleId="Notes">
    <w:name w:val="Notes"/>
    <w:basedOn w:val="Normal"/>
    <w:rsid w:val="003D3343"/>
    <w:pPr>
      <w:numPr>
        <w:numId w:val="12"/>
      </w:numPr>
      <w:spacing w:after="180"/>
    </w:pPr>
    <w:rPr>
      <w:sz w:val="18"/>
    </w:rPr>
  </w:style>
  <w:style w:type="paragraph" w:customStyle="1" w:styleId="Quotation">
    <w:name w:val="Quotation"/>
    <w:basedOn w:val="Normal"/>
    <w:rsid w:val="003D3343"/>
    <w:pPr>
      <w:ind w:left="720" w:right="720"/>
      <w:jc w:val="both"/>
    </w:pPr>
    <w:rPr>
      <w:sz w:val="22"/>
      <w:szCs w:val="24"/>
    </w:rPr>
  </w:style>
  <w:style w:type="paragraph" w:styleId="Signature">
    <w:name w:val="Signature"/>
    <w:basedOn w:val="Normal"/>
    <w:next w:val="Normal"/>
    <w:link w:val="SignatureChar"/>
    <w:semiHidden/>
    <w:rsid w:val="003D3343"/>
    <w:pPr>
      <w:pBdr>
        <w:top w:val="single" w:sz="4" w:space="1" w:color="auto"/>
      </w:pBdr>
      <w:ind w:left="5040"/>
    </w:pPr>
  </w:style>
  <w:style w:type="character" w:customStyle="1" w:styleId="SignatureChar">
    <w:name w:val="Signature Char"/>
    <w:basedOn w:val="DefaultParagraphFont"/>
    <w:link w:val="Signature"/>
    <w:semiHidden/>
    <w:rsid w:val="003D3343"/>
    <w:rPr>
      <w:rFonts w:ascii="Times New Roman" w:hAnsi="Times New Roman" w:cs="Times New Roman"/>
      <w:sz w:val="24"/>
      <w:szCs w:val="20"/>
      <w:lang w:val="en-CA"/>
    </w:rPr>
  </w:style>
  <w:style w:type="numbering" w:customStyle="1" w:styleId="Standard">
    <w:name w:val="Standard"/>
    <w:uiPriority w:val="99"/>
    <w:rsid w:val="003D3343"/>
  </w:style>
  <w:style w:type="character" w:styleId="Hyperlink">
    <w:name w:val="Hyperlink"/>
    <w:rsid w:val="00A8789E"/>
    <w:rPr>
      <w:noProof w:val="0"/>
      <w:color w:val="0000FF"/>
      <w:u w:val="single"/>
    </w:rPr>
  </w:style>
  <w:style w:type="character" w:styleId="FootnoteReference">
    <w:name w:val="footnote reference"/>
    <w:rsid w:val="003D3343"/>
    <w:rPr>
      <w:noProof w:val="0"/>
    </w:rPr>
  </w:style>
  <w:style w:type="paragraph" w:styleId="FootnoteText">
    <w:name w:val="footnote text"/>
    <w:rsid w:val="003D3343"/>
  </w:style>
  <w:style w:type="paragraph" w:styleId="BalloonText">
    <w:name w:val="Balloon Text"/>
    <w:basedOn w:val="Normal"/>
    <w:link w:val="BalloonTextChar"/>
    <w:uiPriority w:val="99"/>
    <w:semiHidden/>
    <w:unhideWhenUsed/>
    <w:rsid w:val="003D3343"/>
    <w:rPr>
      <w:rFonts w:ascii="Tahoma" w:hAnsi="Tahoma" w:cs="Tahoma"/>
      <w:sz w:val="16"/>
      <w:szCs w:val="16"/>
    </w:rPr>
  </w:style>
  <w:style w:type="character" w:customStyle="1" w:styleId="BalloonTextChar">
    <w:name w:val="Balloon Text Char"/>
    <w:basedOn w:val="DefaultParagraphFont"/>
    <w:link w:val="BalloonText"/>
    <w:uiPriority w:val="99"/>
    <w:semiHidden/>
    <w:rsid w:val="003D3343"/>
    <w:rPr>
      <w:rFonts w:ascii="Tahoma" w:hAnsi="Tahoma" w:cs="Tahoma"/>
      <w:sz w:val="16"/>
      <w:szCs w:val="16"/>
      <w:lang w:val="en-CA"/>
    </w:rPr>
  </w:style>
  <w:style w:type="paragraph" w:styleId="ListParagraph">
    <w:name w:val="List Paragraph"/>
    <w:basedOn w:val="Normal"/>
    <w:uiPriority w:val="34"/>
    <w:qFormat/>
    <w:rsid w:val="003D3343"/>
    <w:pPr>
      <w:ind w:left="720"/>
      <w:contextualSpacing/>
    </w:pPr>
  </w:style>
  <w:style w:type="paragraph" w:customStyle="1" w:styleId="ListParagraphSub">
    <w:name w:val="List Paragraph (Sub)"/>
    <w:basedOn w:val="ListParagraph"/>
    <w:qFormat/>
    <w:rsid w:val="003D3343"/>
    <w:pPr>
      <w:numPr>
        <w:numId w:val="11"/>
      </w:numPr>
    </w:pPr>
  </w:style>
  <w:style w:type="paragraph" w:styleId="Subtitle">
    <w:name w:val="Subtitle"/>
    <w:basedOn w:val="Normal"/>
    <w:next w:val="Normal"/>
    <w:link w:val="SubtitleChar"/>
    <w:uiPriority w:val="11"/>
    <w:qFormat/>
    <w:rsid w:val="003D3343"/>
    <w:pPr>
      <w:spacing w:after="60"/>
    </w:pPr>
  </w:style>
  <w:style w:type="character" w:customStyle="1" w:styleId="SubtitleChar">
    <w:name w:val="Subtitle Char"/>
    <w:basedOn w:val="DefaultParagraphFont"/>
    <w:link w:val="Subtitle"/>
    <w:uiPriority w:val="11"/>
    <w:rsid w:val="003D3343"/>
    <w:rPr>
      <w:rFonts w:ascii="Times New Roman" w:hAnsi="Times New Roman" w:cs="Times New Roman"/>
      <w:sz w:val="24"/>
      <w:szCs w:val="20"/>
      <w:lang w:val="en-CA"/>
    </w:rPr>
  </w:style>
  <w:style w:type="paragraph" w:styleId="Title">
    <w:name w:val="Title"/>
    <w:basedOn w:val="Normal"/>
    <w:next w:val="Normal"/>
    <w:link w:val="TitleChar"/>
    <w:uiPriority w:val="10"/>
    <w:qFormat/>
    <w:rsid w:val="008B4BC7"/>
    <w:pPr>
      <w:spacing w:before="360" w:after="120"/>
    </w:pPr>
    <w:rPr>
      <w:b/>
      <w:bCs/>
    </w:rPr>
  </w:style>
  <w:style w:type="character" w:customStyle="1" w:styleId="TitleChar">
    <w:name w:val="Title Char"/>
    <w:basedOn w:val="DefaultParagraphFont"/>
    <w:link w:val="Title"/>
    <w:uiPriority w:val="10"/>
    <w:rsid w:val="008B4BC7"/>
    <w:rPr>
      <w:rFonts w:ascii="Times New Roman" w:hAnsi="Times New Roman" w:cs="Times New Roman"/>
      <w:b/>
      <w:bCs/>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4557</Words>
  <Characters>23846</Characters>
  <Application>Microsoft Office Word</Application>
  <DocSecurity>0</DocSecurity>
  <Lines>198</Lines>
  <Paragraphs>56</Paragraphs>
  <ScaleCrop>false</ScaleCrop>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2016-09-06T21:13:00Z</dcterms:created>
  <dcterms:modified xsi:type="dcterms:W3CDTF">2016-09-09T19:01:00Z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5217248</vt:lpwstr>
  </property>
  <property fmtid="{D5CDD505-2E9C-101B-9397-08002B2CF9AE}" pid="3" name="DMFooterText">
    <vt:lpwstr>#5217248 v1</vt:lpwstr>
  </property>
</Properties>
</file>