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F492" w14:textId="0E56992D" w:rsidR="008A1DAC" w:rsidRPr="008A1DAC" w:rsidRDefault="008A1DAC" w:rsidP="008A1DAC">
      <w:pPr>
        <w:pStyle w:val="BodyText2"/>
        <w:jc w:val="left"/>
        <w:rPr>
          <w:rFonts w:ascii="Arial" w:hAnsi="Arial" w:cs="Arial"/>
          <w:sz w:val="22"/>
          <w:szCs w:val="22"/>
        </w:rPr>
      </w:pPr>
      <w:r w:rsidRPr="008A1DAC">
        <w:rPr>
          <w:rFonts w:ascii="Arial" w:hAnsi="Arial" w:cs="Arial"/>
          <w:sz w:val="22"/>
          <w:szCs w:val="22"/>
        </w:rPr>
        <w:t>2025 BCSECCOM 378</w:t>
      </w:r>
    </w:p>
    <w:p w14:paraId="6AC8957C" w14:textId="77777777" w:rsidR="008A1DAC" w:rsidRPr="008A1DAC" w:rsidRDefault="008A1DAC" w:rsidP="008A1DAC">
      <w:pPr>
        <w:pStyle w:val="BodyText2"/>
        <w:jc w:val="left"/>
        <w:rPr>
          <w:rFonts w:ascii="Arial" w:hAnsi="Arial" w:cs="Arial"/>
          <w:b/>
          <w:bCs w:val="0"/>
          <w:sz w:val="22"/>
          <w:szCs w:val="22"/>
        </w:rPr>
      </w:pPr>
    </w:p>
    <w:p w14:paraId="2FA6EE11" w14:textId="33875B5C" w:rsidR="008A1DAC" w:rsidRPr="008A1DAC" w:rsidRDefault="008A1DAC" w:rsidP="008A1DAC">
      <w:pPr>
        <w:pStyle w:val="BodyText2"/>
        <w:jc w:val="left"/>
        <w:rPr>
          <w:rFonts w:ascii="Arial" w:hAnsi="Arial" w:cs="Arial"/>
          <w:b/>
          <w:bCs w:val="0"/>
          <w:sz w:val="22"/>
          <w:szCs w:val="22"/>
        </w:rPr>
      </w:pPr>
      <w:r w:rsidRPr="008A1DAC">
        <w:rPr>
          <w:rFonts w:ascii="Arial" w:hAnsi="Arial" w:cs="Arial"/>
          <w:b/>
          <w:bCs w:val="0"/>
          <w:sz w:val="22"/>
          <w:szCs w:val="22"/>
        </w:rPr>
        <w:t>Headnote</w:t>
      </w:r>
    </w:p>
    <w:p w14:paraId="3207DDD0" w14:textId="1F6CC904" w:rsidR="008A1DAC" w:rsidRPr="008A1DAC" w:rsidRDefault="008A1DAC" w:rsidP="008A1DAC">
      <w:pPr>
        <w:spacing w:after="0"/>
        <w:jc w:val="left"/>
        <w:rPr>
          <w:rFonts w:ascii="Arial" w:hAnsi="Arial" w:cs="Arial"/>
          <w:sz w:val="22"/>
          <w:szCs w:val="22"/>
        </w:rPr>
      </w:pPr>
      <w:r w:rsidRPr="008A1DAC">
        <w:rPr>
          <w:rFonts w:ascii="Arial" w:hAnsi="Arial" w:cs="Arial"/>
          <w:sz w:val="22"/>
          <w:szCs w:val="22"/>
        </w:rPr>
        <w:t>Multilateral Instrument 11-102 Passport System and National Policy 11-203 Process for Exemptive Relief Applications in Multiple Jurisdictions – National Instrument 51-102, s. 13.1 Continuous Disclosure Obligations</w:t>
      </w:r>
      <w:r w:rsidRPr="008A1DAC">
        <w:rPr>
          <w:rFonts w:ascii="Arial" w:hAnsi="Arial" w:cs="Arial"/>
          <w:sz w:val="22"/>
          <w:szCs w:val="22"/>
        </w:rPr>
        <w:t xml:space="preserve"> </w:t>
      </w:r>
      <w:r w:rsidRPr="008A1DAC">
        <w:rPr>
          <w:rFonts w:ascii="Arial" w:hAnsi="Arial" w:cs="Arial"/>
          <w:sz w:val="22"/>
          <w:szCs w:val="22"/>
        </w:rPr>
        <w:t>– Information Circular - National Instrument 71-101 Multijurisdictional Disclosure System - An issuer completing an arrangement, reorganization or significant acquisition that requires prospectus-level disclosure in an information circular wants relief from the requirement in the MJDS prospectus form to provide a reconciliation to Canadian GAAP for financial statements prepared in accordance with US GAAP to be included in the information circular – The financial statements relate to an entity that is an SEC foreign issuer under NI 52-107; other provisions of Canadian securities legislation allow an SEC issuer or SEC foreign issuer to use financial statements prepared in accordance with U.S. GAAP without providing a reconciliation to Canadian GAAP; the public will receive financial statements of the entity prepared in accordance with U.S. GAAP.</w:t>
      </w:r>
    </w:p>
    <w:p w14:paraId="72D55405" w14:textId="77777777" w:rsidR="008A1DAC" w:rsidRPr="008A1DAC" w:rsidRDefault="008A1DAC" w:rsidP="008A1DAC">
      <w:pPr>
        <w:spacing w:after="0"/>
        <w:jc w:val="left"/>
        <w:rPr>
          <w:rFonts w:ascii="Arial" w:hAnsi="Arial" w:cs="Arial"/>
          <w:sz w:val="22"/>
          <w:szCs w:val="22"/>
        </w:rPr>
      </w:pPr>
    </w:p>
    <w:p w14:paraId="7D052D63" w14:textId="77777777" w:rsidR="008A1DAC" w:rsidRPr="008A1DAC" w:rsidRDefault="008A1DAC" w:rsidP="008A1DAC">
      <w:pPr>
        <w:spacing w:after="0"/>
        <w:jc w:val="left"/>
        <w:rPr>
          <w:rFonts w:ascii="Arial" w:hAnsi="Arial" w:cs="Arial"/>
          <w:b/>
          <w:sz w:val="22"/>
          <w:szCs w:val="22"/>
        </w:rPr>
      </w:pPr>
      <w:r w:rsidRPr="008A1DAC">
        <w:rPr>
          <w:rFonts w:ascii="Arial" w:hAnsi="Arial" w:cs="Arial"/>
          <w:b/>
          <w:sz w:val="22"/>
          <w:szCs w:val="22"/>
        </w:rPr>
        <w:t>Applicable Legislative Provisions</w:t>
      </w:r>
    </w:p>
    <w:p w14:paraId="4AAB2C9F" w14:textId="77777777" w:rsidR="008A1DAC" w:rsidRPr="008A1DAC" w:rsidRDefault="008A1DAC" w:rsidP="008A1DAC">
      <w:pPr>
        <w:spacing w:after="0"/>
        <w:jc w:val="left"/>
        <w:rPr>
          <w:rFonts w:ascii="Arial" w:hAnsi="Arial" w:cs="Arial"/>
          <w:sz w:val="22"/>
          <w:szCs w:val="22"/>
        </w:rPr>
      </w:pPr>
      <w:r w:rsidRPr="008A1DAC">
        <w:rPr>
          <w:rFonts w:ascii="Arial" w:hAnsi="Arial" w:cs="Arial"/>
          <w:sz w:val="22"/>
          <w:szCs w:val="22"/>
        </w:rPr>
        <w:t>National Instrument 51-102 Continuous Disclosure Obligations, s. 13.1</w:t>
      </w:r>
    </w:p>
    <w:p w14:paraId="23DB9AC4" w14:textId="77777777" w:rsidR="008A1DAC" w:rsidRPr="008A1DAC" w:rsidRDefault="008A1DAC" w:rsidP="008A1DAC">
      <w:pPr>
        <w:spacing w:after="0"/>
        <w:jc w:val="left"/>
        <w:rPr>
          <w:rFonts w:ascii="Arial" w:hAnsi="Arial" w:cs="Arial"/>
          <w:sz w:val="22"/>
          <w:szCs w:val="22"/>
        </w:rPr>
      </w:pPr>
      <w:r w:rsidRPr="008A1DAC">
        <w:rPr>
          <w:rFonts w:ascii="Arial" w:hAnsi="Arial" w:cs="Arial"/>
          <w:sz w:val="22"/>
          <w:szCs w:val="22"/>
        </w:rPr>
        <w:t>National Instrument 71-101 The Multijurisdictional Disclosure System, s. 21.1</w:t>
      </w:r>
    </w:p>
    <w:p w14:paraId="308140C8" w14:textId="77777777" w:rsidR="008A1DAC" w:rsidRPr="008A1DAC" w:rsidRDefault="008A1DAC" w:rsidP="008A1DAC">
      <w:pPr>
        <w:spacing w:after="0"/>
        <w:jc w:val="left"/>
        <w:rPr>
          <w:rFonts w:ascii="Arial" w:hAnsi="Arial" w:cs="Arial"/>
          <w:sz w:val="22"/>
          <w:szCs w:val="22"/>
        </w:rPr>
      </w:pPr>
    </w:p>
    <w:p w14:paraId="14AF99AB" w14:textId="77777777" w:rsidR="008A1DAC" w:rsidRPr="008A1DAC" w:rsidRDefault="008A1DAC" w:rsidP="008A1DAC">
      <w:pPr>
        <w:spacing w:after="0"/>
        <w:jc w:val="right"/>
        <w:rPr>
          <w:rFonts w:ascii="Arial" w:hAnsi="Arial" w:cs="Arial"/>
          <w:sz w:val="22"/>
          <w:szCs w:val="22"/>
        </w:rPr>
      </w:pPr>
    </w:p>
    <w:p w14:paraId="75A1EB79" w14:textId="699F05D5" w:rsidR="00AC4CE9" w:rsidRPr="008A1DAC" w:rsidRDefault="00AC4CE9" w:rsidP="008A1DAC">
      <w:pPr>
        <w:spacing w:after="0"/>
        <w:jc w:val="right"/>
        <w:rPr>
          <w:rFonts w:ascii="Arial" w:hAnsi="Arial" w:cs="Arial"/>
          <w:sz w:val="22"/>
          <w:szCs w:val="22"/>
        </w:rPr>
      </w:pPr>
      <w:r w:rsidRPr="008A1DAC">
        <w:rPr>
          <w:rFonts w:ascii="Arial" w:hAnsi="Arial" w:cs="Arial"/>
          <w:sz w:val="22"/>
          <w:szCs w:val="22"/>
        </w:rPr>
        <w:t>August 21, 2025</w:t>
      </w:r>
    </w:p>
    <w:p w14:paraId="01CBEE6A" w14:textId="77777777" w:rsidR="00AC4CE9" w:rsidRPr="008A1DAC" w:rsidRDefault="00AC4CE9" w:rsidP="008A1DAC">
      <w:pPr>
        <w:spacing w:after="0"/>
        <w:jc w:val="right"/>
        <w:rPr>
          <w:rFonts w:ascii="Arial" w:hAnsi="Arial" w:cs="Arial"/>
          <w:sz w:val="22"/>
          <w:szCs w:val="22"/>
        </w:rPr>
      </w:pPr>
    </w:p>
    <w:p w14:paraId="50CF6B0D" w14:textId="77777777" w:rsidR="00AC4CE9" w:rsidRPr="008A1DAC" w:rsidRDefault="00AC4CE9" w:rsidP="008A1DAC">
      <w:pPr>
        <w:spacing w:after="0"/>
        <w:jc w:val="center"/>
        <w:rPr>
          <w:rFonts w:ascii="Arial" w:hAnsi="Arial" w:cs="Arial"/>
          <w:sz w:val="22"/>
          <w:szCs w:val="22"/>
        </w:rPr>
      </w:pPr>
    </w:p>
    <w:p w14:paraId="2D85D1D1" w14:textId="5FD3862E" w:rsidR="005D7B95" w:rsidRPr="008A1DAC" w:rsidRDefault="005D7B95" w:rsidP="008A1DAC">
      <w:pPr>
        <w:spacing w:after="0"/>
        <w:jc w:val="center"/>
        <w:rPr>
          <w:rFonts w:ascii="Arial" w:hAnsi="Arial" w:cs="Arial"/>
          <w:sz w:val="22"/>
          <w:szCs w:val="22"/>
        </w:rPr>
      </w:pPr>
      <w:r w:rsidRPr="008A1DAC">
        <w:rPr>
          <w:rFonts w:ascii="Arial" w:hAnsi="Arial" w:cs="Arial"/>
          <w:sz w:val="22"/>
          <w:szCs w:val="22"/>
        </w:rPr>
        <w:t xml:space="preserve">In the Matter of </w:t>
      </w:r>
      <w:r w:rsidRPr="008A1DAC">
        <w:rPr>
          <w:rFonts w:ascii="Arial" w:hAnsi="Arial" w:cs="Arial"/>
          <w:sz w:val="22"/>
          <w:szCs w:val="22"/>
        </w:rPr>
        <w:br/>
        <w:t xml:space="preserve">the Securities Legislation of </w:t>
      </w:r>
      <w:r w:rsidRPr="008A1DAC">
        <w:rPr>
          <w:rFonts w:ascii="Arial" w:hAnsi="Arial" w:cs="Arial"/>
          <w:sz w:val="22"/>
          <w:szCs w:val="22"/>
        </w:rPr>
        <w:br/>
        <w:t xml:space="preserve">British Columbia and Ontario </w:t>
      </w:r>
    </w:p>
    <w:p w14:paraId="2DFE2C74" w14:textId="0AFC30CA" w:rsidR="00C939FA" w:rsidRPr="008A1DAC" w:rsidRDefault="005D7B95" w:rsidP="008A1DAC">
      <w:pPr>
        <w:spacing w:after="0"/>
        <w:jc w:val="center"/>
        <w:rPr>
          <w:rFonts w:ascii="Arial" w:hAnsi="Arial" w:cs="Arial"/>
          <w:sz w:val="22"/>
          <w:szCs w:val="22"/>
        </w:rPr>
      </w:pPr>
      <w:r w:rsidRPr="008A1DAC">
        <w:rPr>
          <w:rFonts w:ascii="Arial" w:hAnsi="Arial" w:cs="Arial"/>
          <w:sz w:val="22"/>
          <w:szCs w:val="22"/>
        </w:rPr>
        <w:t xml:space="preserve">(the </w:t>
      </w:r>
      <w:r w:rsidRPr="008A1DAC">
        <w:rPr>
          <w:rFonts w:ascii="Arial" w:hAnsi="Arial" w:cs="Arial"/>
          <w:bCs/>
          <w:sz w:val="22"/>
          <w:szCs w:val="22"/>
        </w:rPr>
        <w:t>Jurisdictions</w:t>
      </w:r>
      <w:r w:rsidRPr="008A1DAC">
        <w:rPr>
          <w:rFonts w:ascii="Arial" w:hAnsi="Arial" w:cs="Arial"/>
          <w:sz w:val="22"/>
          <w:szCs w:val="22"/>
        </w:rPr>
        <w:t xml:space="preserve">) </w:t>
      </w:r>
    </w:p>
    <w:p w14:paraId="7C0E1A71" w14:textId="77777777" w:rsidR="00C939FA" w:rsidRPr="008A1DAC" w:rsidRDefault="00C939FA" w:rsidP="005F16D0">
      <w:pPr>
        <w:spacing w:after="0"/>
        <w:jc w:val="center"/>
        <w:rPr>
          <w:rFonts w:ascii="Arial" w:hAnsi="Arial" w:cs="Arial"/>
          <w:sz w:val="22"/>
          <w:szCs w:val="22"/>
        </w:rPr>
      </w:pPr>
    </w:p>
    <w:p w14:paraId="2CD6ED3A" w14:textId="7B0FF385" w:rsidR="005D7B95" w:rsidRPr="008A1DAC" w:rsidRDefault="005D7B95" w:rsidP="005F16D0">
      <w:pPr>
        <w:spacing w:after="0"/>
        <w:jc w:val="center"/>
        <w:rPr>
          <w:rFonts w:ascii="Arial" w:hAnsi="Arial" w:cs="Arial"/>
          <w:sz w:val="22"/>
          <w:szCs w:val="22"/>
        </w:rPr>
      </w:pPr>
      <w:r w:rsidRPr="008A1DAC">
        <w:rPr>
          <w:rFonts w:ascii="Arial" w:hAnsi="Arial" w:cs="Arial"/>
          <w:sz w:val="22"/>
          <w:szCs w:val="22"/>
        </w:rPr>
        <w:t xml:space="preserve">and </w:t>
      </w:r>
    </w:p>
    <w:p w14:paraId="4BDA56C7" w14:textId="77777777" w:rsidR="005F16D0" w:rsidRPr="008A1DAC" w:rsidRDefault="005F16D0" w:rsidP="005F16D0">
      <w:pPr>
        <w:spacing w:after="0"/>
        <w:jc w:val="center"/>
        <w:rPr>
          <w:rFonts w:ascii="Arial" w:hAnsi="Arial" w:cs="Arial"/>
          <w:sz w:val="22"/>
          <w:szCs w:val="22"/>
        </w:rPr>
      </w:pPr>
    </w:p>
    <w:p w14:paraId="4C57A2C9" w14:textId="77777777" w:rsidR="005D7B95" w:rsidRPr="008A1DAC" w:rsidRDefault="005D7B95" w:rsidP="005F16D0">
      <w:pPr>
        <w:spacing w:after="0"/>
        <w:jc w:val="center"/>
        <w:rPr>
          <w:rFonts w:ascii="Arial" w:hAnsi="Arial" w:cs="Arial"/>
          <w:sz w:val="22"/>
          <w:szCs w:val="22"/>
        </w:rPr>
      </w:pPr>
      <w:r w:rsidRPr="008A1DAC">
        <w:rPr>
          <w:rFonts w:ascii="Arial" w:hAnsi="Arial" w:cs="Arial"/>
          <w:sz w:val="22"/>
          <w:szCs w:val="22"/>
        </w:rPr>
        <w:t xml:space="preserve">In the Matter of </w:t>
      </w:r>
      <w:r w:rsidRPr="008A1DAC">
        <w:rPr>
          <w:rFonts w:ascii="Arial" w:hAnsi="Arial" w:cs="Arial"/>
          <w:sz w:val="22"/>
          <w:szCs w:val="22"/>
        </w:rPr>
        <w:br/>
        <w:t>the Process for Exemptive Relief Applications in Multiple Jurisdictions</w:t>
      </w:r>
    </w:p>
    <w:p w14:paraId="3967A7A1" w14:textId="77777777" w:rsidR="005F16D0" w:rsidRPr="008A1DAC" w:rsidRDefault="005F16D0" w:rsidP="005F16D0">
      <w:pPr>
        <w:spacing w:after="0"/>
        <w:jc w:val="center"/>
        <w:rPr>
          <w:rFonts w:ascii="Arial" w:hAnsi="Arial" w:cs="Arial"/>
          <w:sz w:val="22"/>
          <w:szCs w:val="22"/>
        </w:rPr>
      </w:pPr>
    </w:p>
    <w:p w14:paraId="590CD541" w14:textId="77777777" w:rsidR="005D7B95" w:rsidRPr="008A1DAC" w:rsidRDefault="005D7B95" w:rsidP="005F16D0">
      <w:pPr>
        <w:spacing w:after="0"/>
        <w:jc w:val="center"/>
        <w:rPr>
          <w:rFonts w:ascii="Arial" w:hAnsi="Arial" w:cs="Arial"/>
          <w:sz w:val="22"/>
          <w:szCs w:val="22"/>
        </w:rPr>
      </w:pPr>
      <w:r w:rsidRPr="008A1DAC">
        <w:rPr>
          <w:rFonts w:ascii="Arial" w:hAnsi="Arial" w:cs="Arial"/>
          <w:sz w:val="22"/>
          <w:szCs w:val="22"/>
        </w:rPr>
        <w:t xml:space="preserve">and </w:t>
      </w:r>
    </w:p>
    <w:p w14:paraId="22800529" w14:textId="77777777" w:rsidR="005F16D0" w:rsidRPr="008A1DAC" w:rsidRDefault="005F16D0" w:rsidP="005F16D0">
      <w:pPr>
        <w:spacing w:after="0"/>
        <w:jc w:val="center"/>
        <w:rPr>
          <w:rFonts w:ascii="Arial" w:hAnsi="Arial" w:cs="Arial"/>
          <w:sz w:val="22"/>
          <w:szCs w:val="22"/>
        </w:rPr>
      </w:pPr>
    </w:p>
    <w:p w14:paraId="112F29D2" w14:textId="77777777" w:rsidR="005D7B95" w:rsidRPr="008A1DAC" w:rsidRDefault="005D7B95" w:rsidP="005F16D0">
      <w:pPr>
        <w:spacing w:after="0"/>
        <w:jc w:val="center"/>
        <w:rPr>
          <w:rFonts w:ascii="Arial" w:hAnsi="Arial" w:cs="Arial"/>
          <w:sz w:val="22"/>
          <w:szCs w:val="22"/>
        </w:rPr>
      </w:pPr>
      <w:r w:rsidRPr="008A1DAC">
        <w:rPr>
          <w:rFonts w:ascii="Arial" w:hAnsi="Arial" w:cs="Arial"/>
          <w:sz w:val="22"/>
          <w:szCs w:val="22"/>
        </w:rPr>
        <w:t xml:space="preserve">In the Matter of </w:t>
      </w:r>
      <w:r w:rsidRPr="008A1DAC">
        <w:rPr>
          <w:rFonts w:ascii="Arial" w:hAnsi="Arial" w:cs="Arial"/>
          <w:sz w:val="22"/>
          <w:szCs w:val="22"/>
        </w:rPr>
        <w:br/>
        <w:t xml:space="preserve">Sandstorm Gold Ltd. </w:t>
      </w:r>
    </w:p>
    <w:p w14:paraId="5C5E0F74" w14:textId="44587938" w:rsidR="005D7B95" w:rsidRPr="008A1DAC" w:rsidRDefault="005D7B95" w:rsidP="005F16D0">
      <w:pPr>
        <w:spacing w:after="0"/>
        <w:jc w:val="center"/>
        <w:rPr>
          <w:rFonts w:ascii="Arial" w:hAnsi="Arial" w:cs="Arial"/>
          <w:sz w:val="22"/>
          <w:szCs w:val="22"/>
        </w:rPr>
      </w:pPr>
      <w:r w:rsidRPr="008A1DAC">
        <w:rPr>
          <w:rFonts w:ascii="Arial" w:hAnsi="Arial" w:cs="Arial"/>
          <w:sz w:val="22"/>
          <w:szCs w:val="22"/>
        </w:rPr>
        <w:t>(the Filer)</w:t>
      </w:r>
    </w:p>
    <w:p w14:paraId="72D53E23" w14:textId="77777777" w:rsidR="005D7B95" w:rsidRPr="008A1DAC" w:rsidRDefault="005D7B95" w:rsidP="005F16D0">
      <w:pPr>
        <w:spacing w:after="0"/>
        <w:jc w:val="center"/>
        <w:rPr>
          <w:rFonts w:ascii="Arial" w:hAnsi="Arial" w:cs="Arial"/>
          <w:sz w:val="22"/>
          <w:szCs w:val="22"/>
        </w:rPr>
      </w:pPr>
    </w:p>
    <w:p w14:paraId="1F83C41D" w14:textId="64D55CA2" w:rsidR="005D7B95" w:rsidRPr="008A1DAC" w:rsidRDefault="005D7B95" w:rsidP="005F16D0">
      <w:pPr>
        <w:spacing w:after="0"/>
        <w:jc w:val="center"/>
        <w:rPr>
          <w:rFonts w:ascii="Arial" w:hAnsi="Arial" w:cs="Arial"/>
          <w:sz w:val="22"/>
          <w:szCs w:val="22"/>
          <w:u w:val="single"/>
        </w:rPr>
      </w:pPr>
      <w:r w:rsidRPr="008A1DAC">
        <w:rPr>
          <w:rFonts w:ascii="Arial" w:hAnsi="Arial" w:cs="Arial"/>
          <w:sz w:val="22"/>
          <w:szCs w:val="22"/>
          <w:u w:val="single"/>
        </w:rPr>
        <w:t>Order</w:t>
      </w:r>
    </w:p>
    <w:p w14:paraId="1529914E" w14:textId="77777777" w:rsidR="005F16D0" w:rsidRPr="008A1DAC" w:rsidRDefault="005F16D0" w:rsidP="005F16D0">
      <w:pPr>
        <w:spacing w:after="0"/>
        <w:jc w:val="center"/>
        <w:rPr>
          <w:rFonts w:ascii="Arial" w:hAnsi="Arial" w:cs="Arial"/>
          <w:sz w:val="22"/>
          <w:szCs w:val="22"/>
          <w:u w:val="single"/>
        </w:rPr>
      </w:pPr>
    </w:p>
    <w:p w14:paraId="1486F252" w14:textId="77777777" w:rsidR="005F16D0" w:rsidRPr="008A1DAC" w:rsidRDefault="005F16D0" w:rsidP="005F16D0">
      <w:pPr>
        <w:spacing w:after="0"/>
        <w:jc w:val="center"/>
        <w:rPr>
          <w:rFonts w:ascii="Arial" w:hAnsi="Arial" w:cs="Arial"/>
          <w:sz w:val="22"/>
          <w:szCs w:val="22"/>
        </w:rPr>
      </w:pPr>
    </w:p>
    <w:p w14:paraId="1D074063" w14:textId="77777777" w:rsidR="005D7B95" w:rsidRPr="008A1DAC" w:rsidRDefault="005D7B95" w:rsidP="005F16D0">
      <w:pPr>
        <w:spacing w:after="0"/>
        <w:jc w:val="left"/>
        <w:rPr>
          <w:rFonts w:ascii="Arial" w:hAnsi="Arial" w:cs="Arial"/>
          <w:sz w:val="22"/>
          <w:szCs w:val="22"/>
        </w:rPr>
      </w:pPr>
      <w:r w:rsidRPr="008A1DAC">
        <w:rPr>
          <w:rFonts w:ascii="Arial" w:hAnsi="Arial" w:cs="Arial"/>
          <w:b/>
          <w:sz w:val="22"/>
          <w:szCs w:val="22"/>
        </w:rPr>
        <w:t>Background</w:t>
      </w:r>
    </w:p>
    <w:p w14:paraId="61F9CBC7" w14:textId="2E2EC59B" w:rsidR="00216BCE" w:rsidRPr="008A1DAC" w:rsidRDefault="005D7B95" w:rsidP="005F16D0">
      <w:pPr>
        <w:pStyle w:val="ParaNumbered"/>
        <w:ind w:left="18"/>
        <w:rPr>
          <w:rFonts w:ascii="Arial" w:hAnsi="Arial" w:cs="Arial"/>
          <w:sz w:val="22"/>
        </w:rPr>
      </w:pPr>
      <w:r w:rsidRPr="008A1DAC">
        <w:rPr>
          <w:rFonts w:ascii="Arial" w:hAnsi="Arial" w:cs="Arial"/>
          <w:sz w:val="22"/>
        </w:rPr>
        <w:t>The securities regulatory authority or regulator in each of the Jurisdictions (the Decision Maker) has received an application from the Filer for a decision under the securities legislation of the Jurisdictions (the Legislation) for an exemption</w:t>
      </w:r>
      <w:r w:rsidR="00CB3316" w:rsidRPr="008A1DAC">
        <w:rPr>
          <w:rFonts w:ascii="Arial" w:hAnsi="Arial" w:cs="Arial"/>
          <w:sz w:val="22"/>
        </w:rPr>
        <w:t xml:space="preserve"> from the requirements in National Instrument 51-102 </w:t>
      </w:r>
      <w:r w:rsidR="00CB3316" w:rsidRPr="008A1DAC">
        <w:rPr>
          <w:rFonts w:ascii="Arial" w:hAnsi="Arial" w:cs="Arial"/>
          <w:i/>
          <w:iCs/>
          <w:sz w:val="22"/>
        </w:rPr>
        <w:t>Continuous Disclosure Obligations</w:t>
      </w:r>
      <w:r w:rsidR="00CB3316" w:rsidRPr="008A1DAC">
        <w:rPr>
          <w:rFonts w:ascii="Arial" w:hAnsi="Arial" w:cs="Arial"/>
          <w:sz w:val="22"/>
        </w:rPr>
        <w:t xml:space="preserve"> </w:t>
      </w:r>
      <w:r w:rsidR="00A33155" w:rsidRPr="008A1DAC">
        <w:rPr>
          <w:rFonts w:ascii="Arial" w:hAnsi="Arial" w:cs="Arial"/>
          <w:sz w:val="22"/>
        </w:rPr>
        <w:t xml:space="preserve">(NI 51-102) </w:t>
      </w:r>
      <w:r w:rsidR="00CB3316" w:rsidRPr="008A1DAC">
        <w:rPr>
          <w:rFonts w:ascii="Arial" w:hAnsi="Arial" w:cs="Arial"/>
          <w:sz w:val="22"/>
        </w:rPr>
        <w:t xml:space="preserve">and National Instrument 71-101 </w:t>
      </w:r>
      <w:r w:rsidR="0088798D" w:rsidRPr="008A1DAC">
        <w:rPr>
          <w:rFonts w:ascii="Arial" w:hAnsi="Arial" w:cs="Arial"/>
          <w:i/>
          <w:iCs/>
          <w:sz w:val="22"/>
        </w:rPr>
        <w:t xml:space="preserve">The </w:t>
      </w:r>
      <w:r w:rsidR="00CB3316" w:rsidRPr="008A1DAC">
        <w:rPr>
          <w:rFonts w:ascii="Arial" w:hAnsi="Arial" w:cs="Arial"/>
          <w:i/>
          <w:iCs/>
          <w:sz w:val="22"/>
        </w:rPr>
        <w:t>Multijurisdictional Disclosure System</w:t>
      </w:r>
      <w:r w:rsidR="00CB3316" w:rsidRPr="008A1DAC">
        <w:rPr>
          <w:rFonts w:ascii="Arial" w:hAnsi="Arial" w:cs="Arial"/>
          <w:sz w:val="22"/>
        </w:rPr>
        <w:t xml:space="preserve"> (NI 71-101) to include a reconciliation to Canadian GAAP of the following financial statements prepared in accordance with U.S. GAAP</w:t>
      </w:r>
      <w:r w:rsidR="00E83EB5" w:rsidRPr="008A1DAC">
        <w:rPr>
          <w:rFonts w:ascii="Arial" w:hAnsi="Arial" w:cs="Arial"/>
          <w:sz w:val="22"/>
        </w:rPr>
        <w:t xml:space="preserve"> (as defined </w:t>
      </w:r>
      <w:r w:rsidR="70837685" w:rsidRPr="008A1DAC">
        <w:rPr>
          <w:rFonts w:ascii="Arial" w:hAnsi="Arial" w:cs="Arial"/>
          <w:sz w:val="22"/>
        </w:rPr>
        <w:t>in National Instrument 52-10</w:t>
      </w:r>
      <w:r w:rsidR="00E27E3F" w:rsidRPr="008A1DAC">
        <w:rPr>
          <w:rFonts w:ascii="Arial" w:hAnsi="Arial" w:cs="Arial"/>
          <w:sz w:val="22"/>
        </w:rPr>
        <w:t>7</w:t>
      </w:r>
      <w:r w:rsidR="70837685" w:rsidRPr="008A1DAC">
        <w:rPr>
          <w:rFonts w:ascii="Arial" w:hAnsi="Arial" w:cs="Arial"/>
          <w:sz w:val="22"/>
        </w:rPr>
        <w:t xml:space="preserve"> </w:t>
      </w:r>
      <w:r w:rsidR="70837685" w:rsidRPr="008A1DAC">
        <w:rPr>
          <w:rFonts w:ascii="Arial" w:hAnsi="Arial" w:cs="Arial"/>
          <w:i/>
          <w:iCs/>
          <w:sz w:val="22"/>
        </w:rPr>
        <w:t>Acceptable Accounting Principles and Auditing Standards</w:t>
      </w:r>
      <w:r w:rsidR="13322F0C" w:rsidRPr="008A1DAC">
        <w:rPr>
          <w:rFonts w:ascii="Arial" w:hAnsi="Arial" w:cs="Arial"/>
          <w:i/>
          <w:iCs/>
          <w:sz w:val="22"/>
        </w:rPr>
        <w:t xml:space="preserve"> </w:t>
      </w:r>
      <w:r w:rsidR="2823E11D" w:rsidRPr="008A1DAC">
        <w:rPr>
          <w:rFonts w:ascii="Arial" w:hAnsi="Arial" w:cs="Arial"/>
          <w:sz w:val="22"/>
        </w:rPr>
        <w:t>(NI 52-107)</w:t>
      </w:r>
      <w:r w:rsidR="00E83EB5" w:rsidRPr="008A1DAC">
        <w:rPr>
          <w:rFonts w:ascii="Arial" w:hAnsi="Arial" w:cs="Arial"/>
          <w:sz w:val="22"/>
        </w:rPr>
        <w:t>)</w:t>
      </w:r>
      <w:r w:rsidR="00CB3316" w:rsidRPr="008A1DAC">
        <w:rPr>
          <w:rFonts w:ascii="Arial" w:hAnsi="Arial" w:cs="Arial"/>
          <w:sz w:val="22"/>
        </w:rPr>
        <w:t xml:space="preserve"> that are required to be included or incorporated by reference in the</w:t>
      </w:r>
      <w:r w:rsidRPr="008A1DAC">
        <w:rPr>
          <w:rFonts w:ascii="Arial" w:hAnsi="Arial" w:cs="Arial"/>
          <w:sz w:val="22"/>
        </w:rPr>
        <w:t xml:space="preserve"> information circular </w:t>
      </w:r>
      <w:r w:rsidRPr="008A1DAC">
        <w:rPr>
          <w:rFonts w:ascii="Arial" w:hAnsi="Arial" w:cs="Arial"/>
          <w:sz w:val="22"/>
        </w:rPr>
        <w:lastRenderedPageBreak/>
        <w:t xml:space="preserve">(the Information Circular) to be sent to securityholders of the Filer </w:t>
      </w:r>
      <w:r w:rsidR="00216BCE" w:rsidRPr="008A1DAC">
        <w:rPr>
          <w:rFonts w:ascii="Arial" w:hAnsi="Arial" w:cs="Arial"/>
          <w:sz w:val="22"/>
        </w:rPr>
        <w:t>under</w:t>
      </w:r>
      <w:r w:rsidRPr="008A1DAC">
        <w:rPr>
          <w:rFonts w:ascii="Arial" w:hAnsi="Arial" w:cs="Arial"/>
          <w:sz w:val="22"/>
        </w:rPr>
        <w:t xml:space="preserve"> a plan of arrangement (the Arrangement) involving the Filer and Royal Gold, Inc. (Royal Gold): </w:t>
      </w:r>
      <w:r w:rsidR="00277ABF" w:rsidRPr="008A1DAC">
        <w:rPr>
          <w:rFonts w:ascii="Arial" w:hAnsi="Arial" w:cs="Arial"/>
          <w:sz w:val="22"/>
        </w:rPr>
        <w:br/>
      </w:r>
    </w:p>
    <w:p w14:paraId="610A1727" w14:textId="765DEDDB" w:rsidR="00216BCE" w:rsidRPr="008A1DAC" w:rsidRDefault="005D7B95" w:rsidP="005F16D0">
      <w:pPr>
        <w:pStyle w:val="ListParagraph"/>
        <w:numPr>
          <w:ilvl w:val="0"/>
          <w:numId w:val="4"/>
        </w:numPr>
        <w:spacing w:after="0"/>
        <w:jc w:val="left"/>
        <w:rPr>
          <w:rFonts w:ascii="Arial" w:hAnsi="Arial" w:cs="Arial"/>
          <w:sz w:val="22"/>
          <w:szCs w:val="22"/>
        </w:rPr>
      </w:pPr>
      <w:r w:rsidRPr="008A1DAC">
        <w:rPr>
          <w:rFonts w:ascii="Arial" w:hAnsi="Arial" w:cs="Arial"/>
          <w:sz w:val="22"/>
          <w:szCs w:val="22"/>
        </w:rPr>
        <w:t>historical financial statements of Royal Gold</w:t>
      </w:r>
      <w:r w:rsidR="00216BCE" w:rsidRPr="008A1DAC">
        <w:rPr>
          <w:rFonts w:ascii="Arial" w:hAnsi="Arial" w:cs="Arial"/>
          <w:sz w:val="22"/>
          <w:szCs w:val="22"/>
        </w:rPr>
        <w:t>;</w:t>
      </w:r>
      <w:r w:rsidRPr="008A1DAC">
        <w:rPr>
          <w:rFonts w:ascii="Arial" w:hAnsi="Arial" w:cs="Arial"/>
          <w:sz w:val="22"/>
          <w:szCs w:val="22"/>
        </w:rPr>
        <w:t xml:space="preserve"> and </w:t>
      </w:r>
      <w:r w:rsidR="00277ABF" w:rsidRPr="008A1DAC">
        <w:rPr>
          <w:rFonts w:ascii="Arial" w:hAnsi="Arial" w:cs="Arial"/>
          <w:sz w:val="22"/>
          <w:szCs w:val="22"/>
        </w:rPr>
        <w:br/>
      </w:r>
    </w:p>
    <w:p w14:paraId="3A3DE41E" w14:textId="12499BD4" w:rsidR="005D7B95" w:rsidRPr="008A1DAC" w:rsidRDefault="005D7B95" w:rsidP="005F16D0">
      <w:pPr>
        <w:pStyle w:val="ListParagraph"/>
        <w:numPr>
          <w:ilvl w:val="0"/>
          <w:numId w:val="4"/>
        </w:numPr>
        <w:spacing w:after="0"/>
        <w:jc w:val="left"/>
        <w:rPr>
          <w:rFonts w:ascii="Arial" w:hAnsi="Arial" w:cs="Arial"/>
          <w:sz w:val="22"/>
          <w:szCs w:val="22"/>
        </w:rPr>
      </w:pPr>
      <w:r w:rsidRPr="008A1DAC">
        <w:rPr>
          <w:rFonts w:ascii="Arial" w:hAnsi="Arial" w:cs="Arial"/>
          <w:sz w:val="22"/>
          <w:szCs w:val="22"/>
        </w:rPr>
        <w:t>pro forma financial statements of Royal Gold giving effect to the Arrangement and a plan of arrangement (Horizon Arrangement) involving Royal Gold and Horizon Copper Corp. (Horizon)</w:t>
      </w:r>
      <w:r w:rsidR="00216BCE" w:rsidRPr="008A1DAC">
        <w:rPr>
          <w:rFonts w:ascii="Arial" w:hAnsi="Arial" w:cs="Arial"/>
          <w:sz w:val="22"/>
          <w:szCs w:val="22"/>
        </w:rPr>
        <w:t xml:space="preserve"> (the Exemption Sought)</w:t>
      </w:r>
      <w:r w:rsidRPr="008A1DAC">
        <w:rPr>
          <w:rFonts w:ascii="Arial" w:hAnsi="Arial" w:cs="Arial"/>
          <w:sz w:val="22"/>
          <w:szCs w:val="22"/>
        </w:rPr>
        <w:t>.</w:t>
      </w:r>
    </w:p>
    <w:p w14:paraId="533A4852" w14:textId="77777777" w:rsidR="005D7B95" w:rsidRPr="008A1DAC" w:rsidRDefault="005D7B95" w:rsidP="005F16D0">
      <w:pPr>
        <w:spacing w:after="0"/>
        <w:jc w:val="left"/>
        <w:rPr>
          <w:rFonts w:ascii="Arial" w:hAnsi="Arial" w:cs="Arial"/>
          <w:b/>
          <w:bCs/>
          <w:sz w:val="22"/>
          <w:szCs w:val="22"/>
        </w:rPr>
      </w:pPr>
    </w:p>
    <w:p w14:paraId="736517AE" w14:textId="76B80AD0" w:rsidR="005D7B95" w:rsidRPr="008A1DAC" w:rsidRDefault="005D7B95" w:rsidP="005F16D0">
      <w:pPr>
        <w:spacing w:after="0"/>
        <w:jc w:val="left"/>
        <w:rPr>
          <w:rFonts w:ascii="Arial" w:hAnsi="Arial" w:cs="Arial"/>
          <w:sz w:val="22"/>
          <w:szCs w:val="22"/>
        </w:rPr>
      </w:pPr>
      <w:r w:rsidRPr="008A1DAC">
        <w:rPr>
          <w:rFonts w:ascii="Arial" w:hAnsi="Arial" w:cs="Arial"/>
          <w:sz w:val="22"/>
          <w:szCs w:val="22"/>
        </w:rPr>
        <w:t>Under the Process for Exemptive Relief Applications in Multiple Jurisdictions (for a dual application):</w:t>
      </w:r>
      <w:r w:rsidR="005F16D0" w:rsidRPr="008A1DAC">
        <w:rPr>
          <w:rFonts w:ascii="Arial" w:hAnsi="Arial" w:cs="Arial"/>
          <w:sz w:val="22"/>
          <w:szCs w:val="22"/>
        </w:rPr>
        <w:br/>
      </w:r>
    </w:p>
    <w:p w14:paraId="084A64AD" w14:textId="03EFFC40" w:rsidR="005D7B95" w:rsidRPr="008A1DAC" w:rsidRDefault="005D7B95" w:rsidP="005F16D0">
      <w:pPr>
        <w:pStyle w:val="ListParagraph"/>
        <w:numPr>
          <w:ilvl w:val="0"/>
          <w:numId w:val="5"/>
        </w:numPr>
        <w:spacing w:after="0"/>
        <w:jc w:val="left"/>
        <w:rPr>
          <w:rFonts w:ascii="Arial" w:hAnsi="Arial" w:cs="Arial"/>
          <w:sz w:val="22"/>
          <w:szCs w:val="22"/>
        </w:rPr>
      </w:pPr>
      <w:r w:rsidRPr="008A1DAC">
        <w:rPr>
          <w:rFonts w:ascii="Arial" w:hAnsi="Arial" w:cs="Arial"/>
          <w:sz w:val="22"/>
          <w:szCs w:val="22"/>
        </w:rPr>
        <w:t>the British Columbia Securities Commission is the principal regulator for this application</w:t>
      </w:r>
      <w:r w:rsidR="00277ABF" w:rsidRPr="008A1DAC">
        <w:rPr>
          <w:rFonts w:ascii="Arial" w:hAnsi="Arial" w:cs="Arial"/>
          <w:sz w:val="22"/>
          <w:szCs w:val="22"/>
        </w:rPr>
        <w:t>,</w:t>
      </w:r>
      <w:r w:rsidR="00277ABF" w:rsidRPr="008A1DAC">
        <w:rPr>
          <w:rFonts w:ascii="Arial" w:hAnsi="Arial" w:cs="Arial"/>
          <w:sz w:val="22"/>
          <w:szCs w:val="22"/>
        </w:rPr>
        <w:br/>
      </w:r>
    </w:p>
    <w:p w14:paraId="2904FB12" w14:textId="6CCD7A2D" w:rsidR="005D7B95" w:rsidRPr="008A1DAC" w:rsidRDefault="005D7B95" w:rsidP="005F16D0">
      <w:pPr>
        <w:pStyle w:val="ListParagraph"/>
        <w:numPr>
          <w:ilvl w:val="0"/>
          <w:numId w:val="5"/>
        </w:numPr>
        <w:spacing w:after="0"/>
        <w:jc w:val="left"/>
        <w:rPr>
          <w:rFonts w:ascii="Arial" w:hAnsi="Arial" w:cs="Arial"/>
          <w:sz w:val="22"/>
          <w:szCs w:val="22"/>
        </w:rPr>
      </w:pPr>
      <w:r w:rsidRPr="008A1DAC">
        <w:rPr>
          <w:rFonts w:ascii="Arial" w:hAnsi="Arial" w:cs="Arial"/>
          <w:sz w:val="22"/>
          <w:szCs w:val="22"/>
        </w:rPr>
        <w:t xml:space="preserve">the Filer has provided notice that section 4.7(1) of Multilateral Instrument 11-102 </w:t>
      </w:r>
      <w:r w:rsidRPr="008A1DAC">
        <w:rPr>
          <w:rFonts w:ascii="Arial" w:hAnsi="Arial" w:cs="Arial"/>
          <w:i/>
          <w:sz w:val="22"/>
          <w:szCs w:val="22"/>
        </w:rPr>
        <w:t>Passport System</w:t>
      </w:r>
      <w:r w:rsidRPr="008A1DAC">
        <w:rPr>
          <w:rFonts w:ascii="Arial" w:hAnsi="Arial" w:cs="Arial"/>
          <w:sz w:val="22"/>
          <w:szCs w:val="22"/>
        </w:rPr>
        <w:t xml:space="preserve"> (MI 11-102) is intended to be relied upon in Alberta, Manitoba, New Brunswick, Newfoundland and Labrador, Northwest Territories, Nova Scotia, Nunavut, Prince Edward Island, Saskatchewan, Québec and Yukon</w:t>
      </w:r>
      <w:r w:rsidR="00277ABF" w:rsidRPr="008A1DAC">
        <w:rPr>
          <w:rFonts w:ascii="Arial" w:hAnsi="Arial" w:cs="Arial"/>
          <w:sz w:val="22"/>
          <w:szCs w:val="22"/>
        </w:rPr>
        <w:t>,</w:t>
      </w:r>
      <w:r w:rsidRPr="008A1DAC">
        <w:rPr>
          <w:rFonts w:ascii="Arial" w:hAnsi="Arial" w:cs="Arial"/>
          <w:sz w:val="22"/>
          <w:szCs w:val="22"/>
        </w:rPr>
        <w:t xml:space="preserve"> and</w:t>
      </w:r>
      <w:r w:rsidR="00277ABF" w:rsidRPr="008A1DAC">
        <w:rPr>
          <w:rFonts w:ascii="Arial" w:hAnsi="Arial" w:cs="Arial"/>
          <w:sz w:val="22"/>
          <w:szCs w:val="22"/>
        </w:rPr>
        <w:br/>
      </w:r>
    </w:p>
    <w:p w14:paraId="3B08456C" w14:textId="77777777" w:rsidR="00AC4CE9" w:rsidRPr="008A1DAC" w:rsidRDefault="005D7B95" w:rsidP="005F16D0">
      <w:pPr>
        <w:pStyle w:val="ListParagraph"/>
        <w:numPr>
          <w:ilvl w:val="0"/>
          <w:numId w:val="5"/>
        </w:numPr>
        <w:spacing w:after="0"/>
        <w:jc w:val="left"/>
        <w:rPr>
          <w:rFonts w:ascii="Arial" w:hAnsi="Arial" w:cs="Arial"/>
          <w:sz w:val="22"/>
          <w:szCs w:val="22"/>
        </w:rPr>
      </w:pPr>
      <w:r w:rsidRPr="008A1DAC">
        <w:rPr>
          <w:rFonts w:ascii="Arial" w:hAnsi="Arial" w:cs="Arial"/>
          <w:sz w:val="22"/>
          <w:szCs w:val="22"/>
        </w:rPr>
        <w:t>this decision is the decision of the principal regulator and evidences the decision of the securities regulatory authority or regulator in Ontario.</w:t>
      </w:r>
    </w:p>
    <w:p w14:paraId="240FAC04" w14:textId="77777777" w:rsidR="005D7B95" w:rsidRPr="008A1DAC" w:rsidRDefault="005D7B95" w:rsidP="00BE08C0">
      <w:pPr>
        <w:spacing w:after="0"/>
        <w:jc w:val="left"/>
        <w:rPr>
          <w:rFonts w:ascii="Arial" w:hAnsi="Arial" w:cs="Arial"/>
          <w:sz w:val="22"/>
          <w:szCs w:val="22"/>
        </w:rPr>
      </w:pPr>
    </w:p>
    <w:p w14:paraId="60C7E333" w14:textId="77777777" w:rsidR="005D7B95" w:rsidRPr="008A1DAC" w:rsidRDefault="005D7B95" w:rsidP="005F16D0">
      <w:pPr>
        <w:spacing w:after="0"/>
        <w:jc w:val="left"/>
        <w:outlineLvl w:val="1"/>
        <w:rPr>
          <w:rFonts w:ascii="Arial" w:hAnsi="Arial" w:cs="Arial"/>
          <w:sz w:val="22"/>
          <w:szCs w:val="22"/>
        </w:rPr>
      </w:pPr>
      <w:r w:rsidRPr="008A1DAC">
        <w:rPr>
          <w:rFonts w:ascii="Arial" w:hAnsi="Arial" w:cs="Arial"/>
          <w:b/>
          <w:sz w:val="22"/>
          <w:szCs w:val="22"/>
        </w:rPr>
        <w:t>Interpretation</w:t>
      </w:r>
    </w:p>
    <w:p w14:paraId="6F640B78" w14:textId="77777777" w:rsidR="005D7B95" w:rsidRPr="008A1DAC" w:rsidRDefault="005D7B95" w:rsidP="00BE08C0">
      <w:pPr>
        <w:pStyle w:val="ParaNumbered"/>
        <w:ind w:left="18"/>
        <w:rPr>
          <w:rFonts w:ascii="Arial" w:hAnsi="Arial" w:cs="Arial"/>
          <w:sz w:val="22"/>
        </w:rPr>
      </w:pPr>
      <w:r w:rsidRPr="008A1DAC">
        <w:rPr>
          <w:rFonts w:ascii="Arial" w:hAnsi="Arial" w:cs="Arial"/>
          <w:sz w:val="22"/>
        </w:rPr>
        <w:t xml:space="preserve">Terms defined in National Instrument 14-101 </w:t>
      </w:r>
      <w:r w:rsidRPr="008A1DAC">
        <w:rPr>
          <w:rFonts w:ascii="Arial" w:hAnsi="Arial" w:cs="Arial"/>
          <w:i/>
          <w:sz w:val="22"/>
        </w:rPr>
        <w:t>Definitions</w:t>
      </w:r>
      <w:r w:rsidRPr="008A1DAC">
        <w:rPr>
          <w:rFonts w:ascii="Arial" w:hAnsi="Arial" w:cs="Arial"/>
          <w:sz w:val="22"/>
        </w:rPr>
        <w:t xml:space="preserve"> or MI 11-102 have the same meaning if used in this decision, unless otherwise defined.</w:t>
      </w:r>
    </w:p>
    <w:p w14:paraId="7ED5797D" w14:textId="77777777" w:rsidR="00526236" w:rsidRPr="008A1DAC" w:rsidRDefault="00526236" w:rsidP="005F16D0">
      <w:pPr>
        <w:spacing w:after="0"/>
        <w:jc w:val="left"/>
        <w:outlineLvl w:val="1"/>
        <w:rPr>
          <w:rFonts w:ascii="Arial" w:hAnsi="Arial" w:cs="Arial"/>
          <w:sz w:val="22"/>
          <w:szCs w:val="22"/>
        </w:rPr>
      </w:pPr>
    </w:p>
    <w:p w14:paraId="6C18E2AB" w14:textId="77777777" w:rsidR="005D7B95" w:rsidRPr="008A1DAC" w:rsidRDefault="005D7B95" w:rsidP="005F16D0">
      <w:pPr>
        <w:spacing w:after="0"/>
        <w:jc w:val="left"/>
        <w:outlineLvl w:val="1"/>
        <w:rPr>
          <w:rFonts w:ascii="Arial" w:hAnsi="Arial" w:cs="Arial"/>
          <w:sz w:val="22"/>
          <w:szCs w:val="22"/>
        </w:rPr>
      </w:pPr>
      <w:r w:rsidRPr="008A1DAC">
        <w:rPr>
          <w:rFonts w:ascii="Arial" w:hAnsi="Arial" w:cs="Arial"/>
          <w:b/>
          <w:sz w:val="22"/>
          <w:szCs w:val="22"/>
        </w:rPr>
        <w:t>Representations</w:t>
      </w:r>
    </w:p>
    <w:p w14:paraId="11BC9F81" w14:textId="77777777" w:rsidR="005D7B95" w:rsidRPr="008A1DAC" w:rsidRDefault="005D7B95" w:rsidP="00BE08C0">
      <w:pPr>
        <w:pStyle w:val="ParaNumbered"/>
        <w:ind w:left="18"/>
        <w:rPr>
          <w:rFonts w:ascii="Arial" w:hAnsi="Arial" w:cs="Arial"/>
          <w:sz w:val="22"/>
        </w:rPr>
      </w:pPr>
      <w:r w:rsidRPr="008A1DAC">
        <w:rPr>
          <w:rFonts w:ascii="Arial" w:hAnsi="Arial" w:cs="Arial"/>
          <w:sz w:val="22"/>
        </w:rPr>
        <w:t>This decision is based on the following facts represented by the Filer:</w:t>
      </w:r>
    </w:p>
    <w:p w14:paraId="5C57A863" w14:textId="77777777" w:rsidR="005D7B95" w:rsidRPr="008A1DAC" w:rsidRDefault="005D7B95" w:rsidP="005F16D0">
      <w:pPr>
        <w:spacing w:after="0"/>
        <w:jc w:val="left"/>
        <w:outlineLvl w:val="1"/>
        <w:rPr>
          <w:rFonts w:ascii="Arial" w:hAnsi="Arial" w:cs="Arial"/>
          <w:sz w:val="22"/>
          <w:szCs w:val="22"/>
        </w:rPr>
      </w:pPr>
    </w:p>
    <w:p w14:paraId="0C3FC234" w14:textId="0B6E3B75" w:rsidR="005D7B95" w:rsidRPr="008A1DAC" w:rsidRDefault="005D7B95" w:rsidP="005F16D0">
      <w:pPr>
        <w:spacing w:after="0"/>
        <w:jc w:val="left"/>
        <w:outlineLvl w:val="1"/>
        <w:rPr>
          <w:rFonts w:ascii="Arial" w:hAnsi="Arial" w:cs="Arial"/>
          <w:bCs/>
          <w:i/>
          <w:iCs/>
          <w:sz w:val="22"/>
          <w:szCs w:val="22"/>
        </w:rPr>
      </w:pPr>
      <w:r w:rsidRPr="008A1DAC">
        <w:rPr>
          <w:rFonts w:ascii="Arial" w:hAnsi="Arial" w:cs="Arial"/>
          <w:bCs/>
          <w:i/>
          <w:iCs/>
          <w:sz w:val="22"/>
          <w:szCs w:val="22"/>
        </w:rPr>
        <w:t>The Filer</w:t>
      </w:r>
      <w:r w:rsidR="00277ABF" w:rsidRPr="008A1DAC">
        <w:rPr>
          <w:rFonts w:ascii="Arial" w:hAnsi="Arial" w:cs="Arial"/>
          <w:bCs/>
          <w:i/>
          <w:iCs/>
          <w:sz w:val="22"/>
          <w:szCs w:val="22"/>
        </w:rPr>
        <w:br/>
      </w:r>
    </w:p>
    <w:p w14:paraId="1080B9C8" w14:textId="77777777" w:rsidR="00216BCE"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 xml:space="preserve">he Filer is a corporation incorporated under </w:t>
      </w:r>
      <w:r w:rsidR="00216BCE" w:rsidRPr="008A1DAC">
        <w:rPr>
          <w:rFonts w:ascii="Arial" w:hAnsi="Arial" w:cs="Arial"/>
          <w:sz w:val="22"/>
          <w:szCs w:val="22"/>
        </w:rPr>
        <w:t>Business Corporations Act (British Columbia) (the BCBCA)</w:t>
      </w:r>
      <w:r w:rsidRPr="008A1DAC">
        <w:rPr>
          <w:rFonts w:ascii="Arial" w:hAnsi="Arial" w:cs="Arial"/>
          <w:sz w:val="22"/>
          <w:szCs w:val="22"/>
        </w:rPr>
        <w:t>;</w:t>
      </w:r>
      <w:r w:rsidR="005D7B95" w:rsidRPr="008A1DAC">
        <w:rPr>
          <w:rFonts w:ascii="Arial" w:hAnsi="Arial" w:cs="Arial"/>
          <w:sz w:val="22"/>
          <w:szCs w:val="22"/>
        </w:rPr>
        <w:t xml:space="preserve"> </w:t>
      </w:r>
    </w:p>
    <w:p w14:paraId="568C66D2" w14:textId="77777777" w:rsidR="00216BCE" w:rsidRPr="008A1DAC" w:rsidRDefault="00216BCE" w:rsidP="005F16D0">
      <w:pPr>
        <w:spacing w:after="0"/>
        <w:jc w:val="left"/>
        <w:rPr>
          <w:rFonts w:ascii="Arial" w:hAnsi="Arial" w:cs="Arial"/>
          <w:sz w:val="22"/>
          <w:szCs w:val="22"/>
        </w:rPr>
      </w:pPr>
    </w:p>
    <w:p w14:paraId="0509EA0F" w14:textId="6CD7B040"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he Filer</w:t>
      </w:r>
      <w:r w:rsidR="00CB3316" w:rsidRPr="008A1DAC">
        <w:rPr>
          <w:rFonts w:ascii="Arial" w:hAnsi="Arial" w:cs="Arial"/>
          <w:sz w:val="22"/>
          <w:szCs w:val="22"/>
        </w:rPr>
        <w:t>’</w:t>
      </w:r>
      <w:r w:rsidR="005D7B95" w:rsidRPr="008A1DAC">
        <w:rPr>
          <w:rFonts w:ascii="Arial" w:hAnsi="Arial" w:cs="Arial"/>
          <w:sz w:val="22"/>
          <w:szCs w:val="22"/>
        </w:rPr>
        <w:t>s head office and registered office are located in Vancouver, British Columbia</w:t>
      </w:r>
      <w:r w:rsidRPr="008A1DAC">
        <w:rPr>
          <w:rFonts w:ascii="Arial" w:hAnsi="Arial" w:cs="Arial"/>
          <w:sz w:val="22"/>
          <w:szCs w:val="22"/>
        </w:rPr>
        <w:t>;</w:t>
      </w:r>
    </w:p>
    <w:p w14:paraId="62B26162" w14:textId="77777777" w:rsidR="00072158" w:rsidRPr="008A1DAC" w:rsidRDefault="00072158" w:rsidP="005F16D0">
      <w:pPr>
        <w:spacing w:after="0"/>
        <w:jc w:val="left"/>
        <w:rPr>
          <w:rFonts w:ascii="Arial" w:hAnsi="Arial" w:cs="Arial"/>
          <w:sz w:val="22"/>
          <w:szCs w:val="22"/>
        </w:rPr>
      </w:pPr>
    </w:p>
    <w:p w14:paraId="6864F885" w14:textId="6528ECBF"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he Filer is a reporting issuer in each of the provinces and territories of Canada and is not</w:t>
      </w:r>
      <w:r w:rsidR="00216BCE" w:rsidRPr="008A1DAC">
        <w:rPr>
          <w:rFonts w:ascii="Arial" w:hAnsi="Arial" w:cs="Arial"/>
          <w:sz w:val="22"/>
          <w:szCs w:val="22"/>
        </w:rPr>
        <w:t xml:space="preserve"> </w:t>
      </w:r>
      <w:r w:rsidR="005D7B95" w:rsidRPr="008A1DAC">
        <w:rPr>
          <w:rFonts w:ascii="Arial" w:hAnsi="Arial" w:cs="Arial"/>
          <w:sz w:val="22"/>
          <w:szCs w:val="22"/>
        </w:rPr>
        <w:t xml:space="preserve">in default of the securities legislation in any </w:t>
      </w:r>
      <w:r w:rsidR="00216BCE" w:rsidRPr="008A1DAC">
        <w:rPr>
          <w:rFonts w:ascii="Arial" w:hAnsi="Arial" w:cs="Arial"/>
          <w:sz w:val="22"/>
          <w:szCs w:val="22"/>
        </w:rPr>
        <w:t>jurisdiction</w:t>
      </w:r>
      <w:r w:rsidRPr="008A1DAC">
        <w:rPr>
          <w:rFonts w:ascii="Arial" w:hAnsi="Arial" w:cs="Arial"/>
          <w:sz w:val="22"/>
          <w:szCs w:val="22"/>
        </w:rPr>
        <w:t>;</w:t>
      </w:r>
      <w:r w:rsidR="005F16D0" w:rsidRPr="008A1DAC">
        <w:rPr>
          <w:rFonts w:ascii="Arial" w:hAnsi="Arial" w:cs="Arial"/>
          <w:sz w:val="22"/>
          <w:szCs w:val="22"/>
        </w:rPr>
        <w:br/>
      </w:r>
    </w:p>
    <w:p w14:paraId="049EF391" w14:textId="6E0F584A"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he authorized share structure of the Filer consists of an unlimited number of common shares (Sandstorm Shares)</w:t>
      </w:r>
      <w:r w:rsidRPr="008A1DAC">
        <w:rPr>
          <w:rFonts w:ascii="Arial" w:hAnsi="Arial" w:cs="Arial"/>
          <w:sz w:val="22"/>
          <w:szCs w:val="22"/>
        </w:rPr>
        <w:t>;</w:t>
      </w:r>
      <w:r w:rsidR="005D7B95" w:rsidRPr="008A1DAC">
        <w:rPr>
          <w:rFonts w:ascii="Arial" w:hAnsi="Arial" w:cs="Arial"/>
          <w:sz w:val="22"/>
          <w:szCs w:val="22"/>
        </w:rPr>
        <w:t xml:space="preserve"> </w:t>
      </w:r>
      <w:r w:rsidRPr="008A1DAC">
        <w:rPr>
          <w:rFonts w:ascii="Arial" w:hAnsi="Arial" w:cs="Arial"/>
          <w:sz w:val="22"/>
          <w:szCs w:val="22"/>
        </w:rPr>
        <w:t>a</w:t>
      </w:r>
      <w:r w:rsidR="005D7B95" w:rsidRPr="008A1DAC">
        <w:rPr>
          <w:rFonts w:ascii="Arial" w:hAnsi="Arial" w:cs="Arial"/>
          <w:sz w:val="22"/>
          <w:szCs w:val="22"/>
        </w:rPr>
        <w:t>s at July 18, 2025, 293,157,955 Sandstorm Shares were issued and outstanding</w:t>
      </w:r>
      <w:r w:rsidRPr="008A1DAC">
        <w:rPr>
          <w:rFonts w:ascii="Arial" w:hAnsi="Arial" w:cs="Arial"/>
          <w:sz w:val="22"/>
          <w:szCs w:val="22"/>
        </w:rPr>
        <w:t>;</w:t>
      </w:r>
      <w:r w:rsidR="005F16D0" w:rsidRPr="008A1DAC">
        <w:rPr>
          <w:rFonts w:ascii="Arial" w:hAnsi="Arial" w:cs="Arial"/>
          <w:sz w:val="22"/>
          <w:szCs w:val="22"/>
        </w:rPr>
        <w:br/>
      </w:r>
    </w:p>
    <w:p w14:paraId="60F2AEB5" w14:textId="5DBB0737"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he Sandstorm Shares are listed on the TSX and the New York Stock Exchange</w:t>
      </w:r>
      <w:r w:rsidRPr="008A1DAC">
        <w:rPr>
          <w:rFonts w:ascii="Arial" w:hAnsi="Arial" w:cs="Arial"/>
          <w:sz w:val="22"/>
          <w:szCs w:val="22"/>
        </w:rPr>
        <w:t>;</w:t>
      </w:r>
      <w:r w:rsidR="005F16D0" w:rsidRPr="008A1DAC">
        <w:rPr>
          <w:rFonts w:ascii="Arial" w:hAnsi="Arial" w:cs="Arial"/>
          <w:sz w:val="22"/>
          <w:szCs w:val="22"/>
        </w:rPr>
        <w:br/>
      </w:r>
    </w:p>
    <w:p w14:paraId="592535F6" w14:textId="1EEBC030" w:rsidR="005D7B95" w:rsidRPr="008A1DAC" w:rsidRDefault="005D7B95" w:rsidP="005F16D0">
      <w:pPr>
        <w:spacing w:after="0"/>
        <w:jc w:val="left"/>
        <w:rPr>
          <w:rFonts w:ascii="Arial" w:hAnsi="Arial" w:cs="Arial"/>
          <w:i/>
          <w:iCs/>
          <w:sz w:val="22"/>
          <w:szCs w:val="22"/>
        </w:rPr>
      </w:pPr>
      <w:r w:rsidRPr="008A1DAC">
        <w:rPr>
          <w:rFonts w:ascii="Arial" w:hAnsi="Arial" w:cs="Arial"/>
          <w:i/>
          <w:iCs/>
          <w:sz w:val="22"/>
          <w:szCs w:val="22"/>
        </w:rPr>
        <w:t>Royal Gold</w:t>
      </w:r>
      <w:r w:rsidR="00277ABF" w:rsidRPr="008A1DAC">
        <w:rPr>
          <w:rFonts w:ascii="Arial" w:hAnsi="Arial" w:cs="Arial"/>
          <w:i/>
          <w:iCs/>
          <w:sz w:val="22"/>
          <w:szCs w:val="22"/>
        </w:rPr>
        <w:br/>
      </w:r>
    </w:p>
    <w:p w14:paraId="454333C1" w14:textId="77777777" w:rsidR="00216BCE" w:rsidRPr="008A1DAC" w:rsidRDefault="005D7B95"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Royal Gold is a corporation existing under the laws of the State of Delaware</w:t>
      </w:r>
      <w:r w:rsidR="00072158" w:rsidRPr="008A1DAC">
        <w:rPr>
          <w:rFonts w:ascii="Arial" w:hAnsi="Arial" w:cs="Arial"/>
          <w:sz w:val="22"/>
          <w:szCs w:val="22"/>
        </w:rPr>
        <w:t>;</w:t>
      </w:r>
      <w:r w:rsidRPr="008A1DAC">
        <w:rPr>
          <w:rFonts w:ascii="Arial" w:hAnsi="Arial" w:cs="Arial"/>
          <w:sz w:val="22"/>
          <w:szCs w:val="22"/>
        </w:rPr>
        <w:t xml:space="preserve"> </w:t>
      </w:r>
    </w:p>
    <w:p w14:paraId="36BB6D30" w14:textId="77777777" w:rsidR="00216BCE" w:rsidRPr="008A1DAC" w:rsidRDefault="00216BCE" w:rsidP="005F16D0">
      <w:pPr>
        <w:spacing w:after="0"/>
        <w:jc w:val="left"/>
        <w:rPr>
          <w:rFonts w:ascii="Arial" w:hAnsi="Arial" w:cs="Arial"/>
          <w:sz w:val="22"/>
          <w:szCs w:val="22"/>
        </w:rPr>
      </w:pPr>
    </w:p>
    <w:p w14:paraId="039400E7" w14:textId="3E254456"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he head office of Royal Gold is located in Denver, Colorado and the registered office of Royal Gold is located in Wilmington, Delaware</w:t>
      </w:r>
      <w:r w:rsidRPr="008A1DAC">
        <w:rPr>
          <w:rFonts w:ascii="Arial" w:hAnsi="Arial" w:cs="Arial"/>
          <w:sz w:val="22"/>
          <w:szCs w:val="22"/>
        </w:rPr>
        <w:t>;</w:t>
      </w:r>
    </w:p>
    <w:p w14:paraId="581F940F" w14:textId="77777777" w:rsidR="002A5FDA" w:rsidRPr="008A1DAC" w:rsidRDefault="002A5FDA" w:rsidP="005F16D0">
      <w:pPr>
        <w:spacing w:after="0"/>
        <w:jc w:val="left"/>
        <w:rPr>
          <w:rFonts w:ascii="Arial" w:hAnsi="Arial" w:cs="Arial"/>
          <w:sz w:val="22"/>
          <w:szCs w:val="22"/>
        </w:rPr>
      </w:pPr>
    </w:p>
    <w:p w14:paraId="5FF34BEC" w14:textId="76597E0C" w:rsidR="005D7B95" w:rsidRPr="008A1DAC" w:rsidRDefault="005D7B95"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lastRenderedPageBreak/>
        <w:t>Royal Gold is subject to the 1934 Act and is a reporting issuer in each of the provinces of Canada and is not</w:t>
      </w:r>
      <w:r w:rsidR="00216BCE" w:rsidRPr="008A1DAC">
        <w:rPr>
          <w:rFonts w:ascii="Arial" w:hAnsi="Arial" w:cs="Arial"/>
          <w:sz w:val="22"/>
          <w:szCs w:val="22"/>
        </w:rPr>
        <w:t xml:space="preserve"> </w:t>
      </w:r>
      <w:r w:rsidRPr="008A1DAC">
        <w:rPr>
          <w:rFonts w:ascii="Arial" w:hAnsi="Arial" w:cs="Arial"/>
          <w:sz w:val="22"/>
          <w:szCs w:val="22"/>
        </w:rPr>
        <w:t xml:space="preserve">in default of (a) securities legislation in any of the </w:t>
      </w:r>
      <w:r w:rsidR="00844AC2" w:rsidRPr="008A1DAC">
        <w:rPr>
          <w:rFonts w:ascii="Arial" w:hAnsi="Arial" w:cs="Arial"/>
          <w:sz w:val="22"/>
          <w:szCs w:val="22"/>
        </w:rPr>
        <w:t>jurisdictions</w:t>
      </w:r>
      <w:r w:rsidR="00216BCE" w:rsidRPr="008A1DAC">
        <w:rPr>
          <w:rFonts w:ascii="Arial" w:hAnsi="Arial" w:cs="Arial"/>
          <w:sz w:val="22"/>
          <w:szCs w:val="22"/>
        </w:rPr>
        <w:t>,</w:t>
      </w:r>
      <w:r w:rsidRPr="008A1DAC">
        <w:rPr>
          <w:rFonts w:ascii="Arial" w:hAnsi="Arial" w:cs="Arial"/>
          <w:sz w:val="22"/>
          <w:szCs w:val="22"/>
        </w:rPr>
        <w:t xml:space="preserve"> or (b) its obligations under the 1934 Act or other applicable securities legislation in the United States</w:t>
      </w:r>
      <w:r w:rsidR="00072158" w:rsidRPr="008A1DAC">
        <w:rPr>
          <w:rFonts w:ascii="Arial" w:hAnsi="Arial" w:cs="Arial"/>
          <w:sz w:val="22"/>
          <w:szCs w:val="22"/>
        </w:rPr>
        <w:t>;</w:t>
      </w:r>
      <w:r w:rsidR="005F16D0" w:rsidRPr="008A1DAC">
        <w:rPr>
          <w:rFonts w:ascii="Arial" w:hAnsi="Arial" w:cs="Arial"/>
          <w:sz w:val="22"/>
          <w:szCs w:val="22"/>
        </w:rPr>
        <w:br/>
      </w:r>
    </w:p>
    <w:p w14:paraId="13B48ACF" w14:textId="62459B40"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 xml:space="preserve">he authorized capital of Royal Gold consists of 200,000,000 shares of common stock </w:t>
      </w:r>
      <w:r w:rsidR="005F16D0" w:rsidRPr="008A1DAC">
        <w:rPr>
          <w:rFonts w:ascii="Arial" w:hAnsi="Arial" w:cs="Arial"/>
          <w:sz w:val="22"/>
          <w:szCs w:val="22"/>
        </w:rPr>
        <w:br/>
      </w:r>
      <w:r w:rsidR="005D7B95" w:rsidRPr="008A1DAC">
        <w:rPr>
          <w:rFonts w:ascii="Arial" w:hAnsi="Arial" w:cs="Arial"/>
          <w:sz w:val="22"/>
          <w:szCs w:val="22"/>
        </w:rPr>
        <w:t>(Royal Gold Shares) and 10,000,000 shares of preferred stock (Royal Gold Preferred Shares)</w:t>
      </w:r>
      <w:r w:rsidR="00216BCE" w:rsidRPr="008A1DAC">
        <w:rPr>
          <w:rFonts w:ascii="Arial" w:hAnsi="Arial" w:cs="Arial"/>
          <w:sz w:val="22"/>
          <w:szCs w:val="22"/>
        </w:rPr>
        <w:t>;</w:t>
      </w:r>
      <w:r w:rsidR="005D7B95" w:rsidRPr="008A1DAC">
        <w:rPr>
          <w:rFonts w:ascii="Arial" w:hAnsi="Arial" w:cs="Arial"/>
          <w:sz w:val="22"/>
          <w:szCs w:val="22"/>
        </w:rPr>
        <w:t xml:space="preserve"> </w:t>
      </w:r>
      <w:r w:rsidR="00216BCE" w:rsidRPr="008A1DAC">
        <w:rPr>
          <w:rFonts w:ascii="Arial" w:hAnsi="Arial" w:cs="Arial"/>
          <w:sz w:val="22"/>
          <w:szCs w:val="22"/>
        </w:rPr>
        <w:t>a</w:t>
      </w:r>
      <w:r w:rsidR="005D7B95" w:rsidRPr="008A1DAC">
        <w:rPr>
          <w:rFonts w:ascii="Arial" w:hAnsi="Arial" w:cs="Arial"/>
          <w:sz w:val="22"/>
          <w:szCs w:val="22"/>
        </w:rPr>
        <w:t>s at July 15, 2025, there were 65,831,053 Royal Gold Shares issued and outstanding and no Royal Gold Preferred Shares issued or outstanding</w:t>
      </w:r>
      <w:r w:rsidRPr="008A1DAC">
        <w:rPr>
          <w:rFonts w:ascii="Arial" w:hAnsi="Arial" w:cs="Arial"/>
          <w:sz w:val="22"/>
          <w:szCs w:val="22"/>
        </w:rPr>
        <w:t>;</w:t>
      </w:r>
      <w:r w:rsidR="005F16D0" w:rsidRPr="008A1DAC">
        <w:rPr>
          <w:rFonts w:ascii="Arial" w:hAnsi="Arial" w:cs="Arial"/>
          <w:sz w:val="22"/>
          <w:szCs w:val="22"/>
        </w:rPr>
        <w:br/>
      </w:r>
    </w:p>
    <w:p w14:paraId="103DD429" w14:textId="2361E10F"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t</w:t>
      </w:r>
      <w:r w:rsidR="005D7B95" w:rsidRPr="008A1DAC">
        <w:rPr>
          <w:rFonts w:ascii="Arial" w:hAnsi="Arial" w:cs="Arial"/>
          <w:sz w:val="22"/>
          <w:szCs w:val="22"/>
        </w:rPr>
        <w:t>he Royal Gold Shares are listed on the Nasdaq Global Select Market</w:t>
      </w:r>
      <w:r w:rsidRPr="008A1DAC">
        <w:rPr>
          <w:rFonts w:ascii="Arial" w:hAnsi="Arial" w:cs="Arial"/>
          <w:sz w:val="22"/>
          <w:szCs w:val="22"/>
        </w:rPr>
        <w:t>;</w:t>
      </w:r>
      <w:r w:rsidR="005F16D0" w:rsidRPr="008A1DAC">
        <w:rPr>
          <w:rFonts w:ascii="Arial" w:hAnsi="Arial" w:cs="Arial"/>
          <w:sz w:val="22"/>
          <w:szCs w:val="22"/>
        </w:rPr>
        <w:br/>
      </w:r>
    </w:p>
    <w:p w14:paraId="2F00DBC6" w14:textId="2935AF4C" w:rsidR="005D7B95" w:rsidRPr="008A1DAC" w:rsidRDefault="005D7B95"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Royal Gold currently files financial statements prepared in accordance with U.S. GAAP</w:t>
      </w:r>
      <w:r w:rsidR="00072158" w:rsidRPr="008A1DAC">
        <w:rPr>
          <w:rFonts w:ascii="Arial" w:hAnsi="Arial" w:cs="Arial"/>
          <w:sz w:val="22"/>
          <w:szCs w:val="22"/>
        </w:rPr>
        <w:t>;</w:t>
      </w:r>
      <w:r w:rsidR="005F16D0" w:rsidRPr="008A1DAC">
        <w:rPr>
          <w:rFonts w:ascii="Arial" w:hAnsi="Arial" w:cs="Arial"/>
          <w:sz w:val="22"/>
          <w:szCs w:val="22"/>
        </w:rPr>
        <w:br/>
      </w:r>
    </w:p>
    <w:p w14:paraId="4EFBFB38" w14:textId="5538AC41" w:rsidR="005D7B95" w:rsidRPr="008A1DAC" w:rsidRDefault="005D7B95" w:rsidP="005F16D0">
      <w:pPr>
        <w:spacing w:after="0"/>
        <w:jc w:val="left"/>
        <w:rPr>
          <w:rFonts w:ascii="Arial" w:hAnsi="Arial" w:cs="Arial"/>
          <w:i/>
          <w:iCs/>
          <w:sz w:val="22"/>
          <w:szCs w:val="22"/>
        </w:rPr>
      </w:pPr>
      <w:r w:rsidRPr="008A1DAC">
        <w:rPr>
          <w:rFonts w:ascii="Arial" w:hAnsi="Arial" w:cs="Arial"/>
          <w:i/>
          <w:iCs/>
          <w:sz w:val="22"/>
          <w:szCs w:val="22"/>
        </w:rPr>
        <w:t>The Arrangement</w:t>
      </w:r>
      <w:r w:rsidR="00277ABF" w:rsidRPr="008A1DAC">
        <w:rPr>
          <w:rFonts w:ascii="Arial" w:hAnsi="Arial" w:cs="Arial"/>
          <w:i/>
          <w:iCs/>
          <w:sz w:val="22"/>
          <w:szCs w:val="22"/>
        </w:rPr>
        <w:br/>
      </w:r>
    </w:p>
    <w:p w14:paraId="33E16757" w14:textId="2283E142"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o</w:t>
      </w:r>
      <w:r w:rsidR="005D7B95" w:rsidRPr="008A1DAC">
        <w:rPr>
          <w:rFonts w:ascii="Arial" w:hAnsi="Arial" w:cs="Arial"/>
          <w:sz w:val="22"/>
          <w:szCs w:val="22"/>
        </w:rPr>
        <w:t xml:space="preserve">n July 6, 2025, the Filer and Royal Gold entered into an arrangement agreement (Arrangement Agreement) whereby Royal Gold agreed to acquire all of the issued and outstanding Sandstorm Shares </w:t>
      </w:r>
      <w:r w:rsidR="00216BCE" w:rsidRPr="008A1DAC">
        <w:rPr>
          <w:rFonts w:ascii="Arial" w:hAnsi="Arial" w:cs="Arial"/>
          <w:sz w:val="22"/>
          <w:szCs w:val="22"/>
        </w:rPr>
        <w:t>under</w:t>
      </w:r>
      <w:r w:rsidR="005D7B95" w:rsidRPr="008A1DAC">
        <w:rPr>
          <w:rFonts w:ascii="Arial" w:hAnsi="Arial" w:cs="Arial"/>
          <w:sz w:val="22"/>
          <w:szCs w:val="22"/>
        </w:rPr>
        <w:t xml:space="preserve"> the Arrangement</w:t>
      </w:r>
      <w:r w:rsidR="00216BCE" w:rsidRPr="008A1DAC">
        <w:rPr>
          <w:rFonts w:ascii="Arial" w:hAnsi="Arial" w:cs="Arial"/>
          <w:sz w:val="22"/>
          <w:szCs w:val="22"/>
        </w:rPr>
        <w:t>;</w:t>
      </w:r>
      <w:r w:rsidR="005D7B95" w:rsidRPr="008A1DAC">
        <w:rPr>
          <w:rFonts w:ascii="Arial" w:hAnsi="Arial" w:cs="Arial"/>
          <w:sz w:val="22"/>
          <w:szCs w:val="22"/>
        </w:rPr>
        <w:t xml:space="preserve"> </w:t>
      </w:r>
      <w:r w:rsidR="00216BCE" w:rsidRPr="008A1DAC">
        <w:rPr>
          <w:rFonts w:ascii="Arial" w:hAnsi="Arial" w:cs="Arial"/>
          <w:sz w:val="22"/>
          <w:szCs w:val="22"/>
        </w:rPr>
        <w:t>f</w:t>
      </w:r>
      <w:r w:rsidR="005D7B95" w:rsidRPr="008A1DAC">
        <w:rPr>
          <w:rFonts w:ascii="Arial" w:hAnsi="Arial" w:cs="Arial"/>
          <w:sz w:val="22"/>
          <w:szCs w:val="22"/>
        </w:rPr>
        <w:t>ollowing completion of the Arrangement, the Filer will be a wholly-owned subsidiary of Royal Gold</w:t>
      </w:r>
      <w:r w:rsidRPr="008A1DAC">
        <w:rPr>
          <w:rFonts w:ascii="Arial" w:hAnsi="Arial" w:cs="Arial"/>
          <w:sz w:val="22"/>
          <w:szCs w:val="22"/>
        </w:rPr>
        <w:t>;</w:t>
      </w:r>
    </w:p>
    <w:p w14:paraId="34F0D4BE" w14:textId="77777777" w:rsidR="00072158" w:rsidRPr="008A1DAC" w:rsidRDefault="00072158" w:rsidP="005F16D0">
      <w:pPr>
        <w:spacing w:after="0"/>
        <w:jc w:val="left"/>
        <w:rPr>
          <w:rFonts w:ascii="Arial" w:hAnsi="Arial" w:cs="Arial"/>
          <w:sz w:val="22"/>
          <w:szCs w:val="22"/>
        </w:rPr>
      </w:pPr>
    </w:p>
    <w:p w14:paraId="69463FD5" w14:textId="159459D4"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c</w:t>
      </w:r>
      <w:r w:rsidR="005D7B95" w:rsidRPr="008A1DAC">
        <w:rPr>
          <w:rFonts w:ascii="Arial" w:hAnsi="Arial" w:cs="Arial"/>
          <w:sz w:val="22"/>
          <w:szCs w:val="22"/>
        </w:rPr>
        <w:t xml:space="preserve">oncurrent with the entering into of the Arrangement Agreement, on July 6, 2025, Royal Gold and Horizon entered into an arrangement agreement whereby Royal Gold agreed to acquire all of the issued and outstanding common shares of Horizon </w:t>
      </w:r>
      <w:r w:rsidR="00E83EB5" w:rsidRPr="008A1DAC">
        <w:rPr>
          <w:rFonts w:ascii="Arial" w:hAnsi="Arial" w:cs="Arial"/>
          <w:sz w:val="22"/>
          <w:szCs w:val="22"/>
        </w:rPr>
        <w:t>under</w:t>
      </w:r>
      <w:r w:rsidR="005D7B95" w:rsidRPr="008A1DAC">
        <w:rPr>
          <w:rFonts w:ascii="Arial" w:hAnsi="Arial" w:cs="Arial"/>
          <w:sz w:val="22"/>
          <w:szCs w:val="22"/>
        </w:rPr>
        <w:t xml:space="preserve"> the Horizon Arrangement</w:t>
      </w:r>
      <w:r w:rsidRPr="008A1DAC">
        <w:rPr>
          <w:rFonts w:ascii="Arial" w:hAnsi="Arial" w:cs="Arial"/>
          <w:sz w:val="22"/>
          <w:szCs w:val="22"/>
        </w:rPr>
        <w:t>;</w:t>
      </w:r>
      <w:r w:rsidR="005D7B95" w:rsidRPr="008A1DAC">
        <w:rPr>
          <w:rFonts w:ascii="Arial" w:hAnsi="Arial" w:cs="Arial"/>
          <w:sz w:val="22"/>
          <w:szCs w:val="22"/>
        </w:rPr>
        <w:t xml:space="preserve"> </w:t>
      </w:r>
      <w:r w:rsidRPr="008A1DAC">
        <w:rPr>
          <w:rFonts w:ascii="Arial" w:hAnsi="Arial" w:cs="Arial"/>
          <w:sz w:val="22"/>
          <w:szCs w:val="22"/>
        </w:rPr>
        <w:t>f</w:t>
      </w:r>
      <w:r w:rsidR="005D7B95" w:rsidRPr="008A1DAC">
        <w:rPr>
          <w:rFonts w:ascii="Arial" w:hAnsi="Arial" w:cs="Arial"/>
          <w:sz w:val="22"/>
          <w:szCs w:val="22"/>
        </w:rPr>
        <w:t>ollowing completion of the Horizon Arrangement, Horizon will be a wholly-owned subsidiary of Royal Gold</w:t>
      </w:r>
      <w:r w:rsidRPr="008A1DAC">
        <w:rPr>
          <w:rFonts w:ascii="Arial" w:hAnsi="Arial" w:cs="Arial"/>
          <w:sz w:val="22"/>
          <w:szCs w:val="22"/>
        </w:rPr>
        <w:t>;</w:t>
      </w:r>
      <w:r w:rsidR="005F16D0" w:rsidRPr="008A1DAC">
        <w:rPr>
          <w:rFonts w:ascii="Arial" w:hAnsi="Arial" w:cs="Arial"/>
          <w:sz w:val="22"/>
          <w:szCs w:val="22"/>
        </w:rPr>
        <w:br/>
      </w:r>
    </w:p>
    <w:p w14:paraId="470BB64E" w14:textId="1999760F" w:rsidR="005D7B9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i</w:t>
      </w:r>
      <w:r w:rsidR="005D7B95" w:rsidRPr="008A1DAC">
        <w:rPr>
          <w:rFonts w:ascii="Arial" w:hAnsi="Arial" w:cs="Arial"/>
          <w:sz w:val="22"/>
          <w:szCs w:val="22"/>
        </w:rPr>
        <w:t>n accordance with the BCBCA, the Arrangement must be approved by a special resolution of the</w:t>
      </w:r>
      <w:r w:rsidR="005D7B95" w:rsidRPr="008A1DAC" w:rsidDel="00F766C3">
        <w:rPr>
          <w:rFonts w:ascii="Arial" w:hAnsi="Arial" w:cs="Arial"/>
          <w:sz w:val="22"/>
          <w:szCs w:val="22"/>
        </w:rPr>
        <w:t xml:space="preserve"> </w:t>
      </w:r>
      <w:r w:rsidR="005D7B95" w:rsidRPr="008A1DAC">
        <w:rPr>
          <w:rFonts w:ascii="Arial" w:hAnsi="Arial" w:cs="Arial"/>
          <w:sz w:val="22"/>
          <w:szCs w:val="22"/>
        </w:rPr>
        <w:t>of holders of Sandstorm Shares (Sandstorm Shareholders) at a special meeting of the Sandstorm Shareholders</w:t>
      </w:r>
      <w:r w:rsidRPr="008A1DAC">
        <w:rPr>
          <w:rFonts w:ascii="Arial" w:hAnsi="Arial" w:cs="Arial"/>
          <w:sz w:val="22"/>
          <w:szCs w:val="22"/>
        </w:rPr>
        <w:t>;</w:t>
      </w:r>
      <w:r w:rsidR="005D7B95" w:rsidRPr="008A1DAC">
        <w:rPr>
          <w:rFonts w:ascii="Arial" w:hAnsi="Arial" w:cs="Arial"/>
          <w:sz w:val="22"/>
          <w:szCs w:val="22"/>
        </w:rPr>
        <w:t xml:space="preserve"> the </w:t>
      </w:r>
      <w:r w:rsidR="00C06438" w:rsidRPr="008A1DAC">
        <w:rPr>
          <w:rFonts w:ascii="Arial" w:hAnsi="Arial" w:cs="Arial"/>
          <w:sz w:val="22"/>
          <w:szCs w:val="22"/>
        </w:rPr>
        <w:t>Filer</w:t>
      </w:r>
      <w:r w:rsidR="005D7B95" w:rsidRPr="008A1DAC">
        <w:rPr>
          <w:rFonts w:ascii="Arial" w:hAnsi="Arial" w:cs="Arial"/>
          <w:sz w:val="22"/>
          <w:szCs w:val="22"/>
        </w:rPr>
        <w:t xml:space="preserve"> will prepare and mail the Information Circular to the Sandstorm Shareholders</w:t>
      </w:r>
      <w:r w:rsidR="00BF1DD6" w:rsidRPr="008A1DAC">
        <w:rPr>
          <w:rFonts w:ascii="Arial" w:hAnsi="Arial" w:cs="Arial"/>
          <w:sz w:val="22"/>
          <w:szCs w:val="22"/>
        </w:rPr>
        <w:t>,</w:t>
      </w:r>
      <w:r w:rsidR="005D7B95" w:rsidRPr="008A1DAC">
        <w:rPr>
          <w:rFonts w:ascii="Arial" w:hAnsi="Arial" w:cs="Arial"/>
          <w:sz w:val="22"/>
          <w:szCs w:val="22"/>
        </w:rPr>
        <w:t xml:space="preserve"> which will contain, among other things, detailed information regarding the Arrangement and the business and operations of Royal Gold</w:t>
      </w:r>
      <w:r w:rsidRPr="008A1DAC">
        <w:rPr>
          <w:rFonts w:ascii="Arial" w:hAnsi="Arial" w:cs="Arial"/>
          <w:sz w:val="22"/>
          <w:szCs w:val="22"/>
        </w:rPr>
        <w:t>;</w:t>
      </w:r>
      <w:r w:rsidR="005F16D0" w:rsidRPr="008A1DAC">
        <w:rPr>
          <w:rFonts w:ascii="Arial" w:hAnsi="Arial" w:cs="Arial"/>
          <w:sz w:val="22"/>
          <w:szCs w:val="22"/>
        </w:rPr>
        <w:br/>
      </w:r>
    </w:p>
    <w:p w14:paraId="275DA5B4" w14:textId="72406CB4" w:rsidR="005D7B95" w:rsidRPr="008A1DAC" w:rsidRDefault="00A33155"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under</w:t>
      </w:r>
      <w:r w:rsidR="005D7B95" w:rsidRPr="008A1DAC">
        <w:rPr>
          <w:rFonts w:ascii="Arial" w:hAnsi="Arial" w:cs="Arial"/>
          <w:sz w:val="22"/>
          <w:szCs w:val="22"/>
        </w:rPr>
        <w:t xml:space="preserve"> the form requirements for an information circular</w:t>
      </w:r>
      <w:r w:rsidR="00E83EB5" w:rsidRPr="008A1DAC">
        <w:rPr>
          <w:rFonts w:ascii="Arial" w:hAnsi="Arial" w:cs="Arial"/>
          <w:sz w:val="22"/>
          <w:szCs w:val="22"/>
        </w:rPr>
        <w:t xml:space="preserve"> in NI 51-102</w:t>
      </w:r>
      <w:r w:rsidR="005D7B95" w:rsidRPr="008A1DAC">
        <w:rPr>
          <w:rFonts w:ascii="Arial" w:hAnsi="Arial" w:cs="Arial"/>
          <w:sz w:val="22"/>
          <w:szCs w:val="22"/>
        </w:rPr>
        <w:t>, the Information Circular must include disclosure about Royal Gold prescribed by the form of prospectus that Royal Gold would be eligible to use immediately prior to the sending and filing of the Information Circular</w:t>
      </w:r>
      <w:r w:rsidR="00072158" w:rsidRPr="008A1DAC">
        <w:rPr>
          <w:rFonts w:ascii="Arial" w:hAnsi="Arial" w:cs="Arial"/>
          <w:sz w:val="22"/>
          <w:szCs w:val="22"/>
        </w:rPr>
        <w:t>;</w:t>
      </w:r>
      <w:r w:rsidR="005F16D0" w:rsidRPr="008A1DAC">
        <w:rPr>
          <w:rFonts w:ascii="Arial" w:hAnsi="Arial" w:cs="Arial"/>
          <w:sz w:val="22"/>
          <w:szCs w:val="22"/>
        </w:rPr>
        <w:br/>
      </w:r>
    </w:p>
    <w:p w14:paraId="4EAABC49" w14:textId="2C971706" w:rsidR="005D7B95" w:rsidRPr="008A1DAC" w:rsidRDefault="00A33155"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under</w:t>
      </w:r>
      <w:r w:rsidR="005D7B95" w:rsidRPr="008A1DAC">
        <w:rPr>
          <w:rFonts w:ascii="Arial" w:hAnsi="Arial" w:cs="Arial"/>
          <w:sz w:val="22"/>
          <w:szCs w:val="22"/>
        </w:rPr>
        <w:t xml:space="preserve"> section 3.1(c) of </w:t>
      </w:r>
      <w:r w:rsidR="00E83EB5" w:rsidRPr="008A1DAC">
        <w:rPr>
          <w:rFonts w:ascii="Arial" w:hAnsi="Arial" w:cs="Arial"/>
          <w:sz w:val="22"/>
          <w:szCs w:val="22"/>
        </w:rPr>
        <w:t>NI</w:t>
      </w:r>
      <w:r w:rsidR="005D7B95" w:rsidRPr="008A1DAC">
        <w:rPr>
          <w:rFonts w:ascii="Arial" w:hAnsi="Arial" w:cs="Arial"/>
          <w:sz w:val="22"/>
          <w:szCs w:val="22"/>
        </w:rPr>
        <w:t xml:space="preserve"> 71-101, Royal Gold is eligible to file a prospectus in the form of a MJDS prospectus prepared in accordance with the disclosure and other requirements of United States federal securities laws as it meets the eligibility criteria set </w:t>
      </w:r>
      <w:r w:rsidR="002F5D89" w:rsidRPr="008A1DAC">
        <w:rPr>
          <w:rFonts w:ascii="Arial" w:hAnsi="Arial" w:cs="Arial"/>
          <w:sz w:val="22"/>
          <w:szCs w:val="22"/>
        </w:rPr>
        <w:t>out</w:t>
      </w:r>
      <w:r w:rsidR="005D7B95" w:rsidRPr="008A1DAC">
        <w:rPr>
          <w:rFonts w:ascii="Arial" w:hAnsi="Arial" w:cs="Arial"/>
          <w:sz w:val="22"/>
          <w:szCs w:val="22"/>
        </w:rPr>
        <w:t xml:space="preserve"> in sections 3.1(c) and 3.1(a)(ii) to (v) of NI 71-101</w:t>
      </w:r>
      <w:r w:rsidR="00072158" w:rsidRPr="008A1DAC">
        <w:rPr>
          <w:rFonts w:ascii="Arial" w:hAnsi="Arial" w:cs="Arial"/>
          <w:sz w:val="22"/>
          <w:szCs w:val="22"/>
        </w:rPr>
        <w:t>;</w:t>
      </w:r>
      <w:r w:rsidR="005F16D0" w:rsidRPr="008A1DAC">
        <w:rPr>
          <w:rFonts w:ascii="Arial" w:hAnsi="Arial" w:cs="Arial"/>
          <w:sz w:val="22"/>
          <w:szCs w:val="22"/>
        </w:rPr>
        <w:br/>
      </w:r>
    </w:p>
    <w:p w14:paraId="2D53EB4C" w14:textId="08D54F00" w:rsidR="00E83EB5" w:rsidRPr="008A1DAC" w:rsidRDefault="00072158"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i</w:t>
      </w:r>
      <w:r w:rsidR="005D7B95" w:rsidRPr="008A1DAC">
        <w:rPr>
          <w:rFonts w:ascii="Arial" w:hAnsi="Arial" w:cs="Arial"/>
          <w:sz w:val="22"/>
          <w:szCs w:val="22"/>
        </w:rPr>
        <w:t>n order for the Filer to provide the disclosure in the Information Circular in accordance with NI 71-101, the Information Circular must include the following financial statements (the Financial Statements): (</w:t>
      </w:r>
      <w:proofErr w:type="spellStart"/>
      <w:r w:rsidR="005D7B95" w:rsidRPr="008A1DAC">
        <w:rPr>
          <w:rFonts w:ascii="Arial" w:hAnsi="Arial" w:cs="Arial"/>
          <w:sz w:val="22"/>
          <w:szCs w:val="22"/>
        </w:rPr>
        <w:t>i</w:t>
      </w:r>
      <w:proofErr w:type="spellEnd"/>
      <w:r w:rsidR="005D7B95" w:rsidRPr="008A1DAC">
        <w:rPr>
          <w:rFonts w:ascii="Arial" w:hAnsi="Arial" w:cs="Arial"/>
          <w:sz w:val="22"/>
          <w:szCs w:val="22"/>
        </w:rPr>
        <w:t>) historical financial statements of Royal Gold</w:t>
      </w:r>
      <w:r w:rsidR="002F5D89" w:rsidRPr="008A1DAC">
        <w:rPr>
          <w:rFonts w:ascii="Arial" w:hAnsi="Arial" w:cs="Arial"/>
          <w:sz w:val="22"/>
          <w:szCs w:val="22"/>
        </w:rPr>
        <w:t>;</w:t>
      </w:r>
      <w:r w:rsidR="005D7B95" w:rsidRPr="008A1DAC">
        <w:rPr>
          <w:rFonts w:ascii="Arial" w:hAnsi="Arial" w:cs="Arial"/>
          <w:sz w:val="22"/>
          <w:szCs w:val="22"/>
        </w:rPr>
        <w:t xml:space="preserve"> and (ii) pro forma financial statements of Royal Gold giving effect to the Arrangement and the Horizon Arrangement</w:t>
      </w:r>
      <w:r w:rsidR="002F5D89" w:rsidRPr="008A1DAC">
        <w:rPr>
          <w:rFonts w:ascii="Arial" w:hAnsi="Arial" w:cs="Arial"/>
          <w:sz w:val="22"/>
          <w:szCs w:val="22"/>
        </w:rPr>
        <w:t>; t</w:t>
      </w:r>
      <w:r w:rsidR="005D7B95" w:rsidRPr="008A1DAC">
        <w:rPr>
          <w:rFonts w:ascii="Arial" w:hAnsi="Arial" w:cs="Arial"/>
          <w:sz w:val="22"/>
          <w:szCs w:val="22"/>
        </w:rPr>
        <w:t>he Financial Statements have been prepared in accordance with U.S. GAAP</w:t>
      </w:r>
      <w:r w:rsidR="002F5D89" w:rsidRPr="008A1DAC">
        <w:rPr>
          <w:rFonts w:ascii="Arial" w:hAnsi="Arial" w:cs="Arial"/>
          <w:sz w:val="22"/>
          <w:szCs w:val="22"/>
        </w:rPr>
        <w:t>;</w:t>
      </w:r>
      <w:r w:rsidR="005F16D0" w:rsidRPr="008A1DAC">
        <w:rPr>
          <w:rFonts w:ascii="Arial" w:hAnsi="Arial" w:cs="Arial"/>
          <w:sz w:val="22"/>
          <w:szCs w:val="22"/>
        </w:rPr>
        <w:br/>
      </w:r>
    </w:p>
    <w:p w14:paraId="07062AD1" w14:textId="3B5B0EBB" w:rsidR="005D7B95" w:rsidRPr="008A1DAC" w:rsidRDefault="002F5D89"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t>s</w:t>
      </w:r>
      <w:r w:rsidR="005D7B95" w:rsidRPr="008A1DAC">
        <w:rPr>
          <w:rFonts w:ascii="Arial" w:hAnsi="Arial" w:cs="Arial"/>
          <w:sz w:val="22"/>
          <w:szCs w:val="22"/>
        </w:rPr>
        <w:t>ection 4.6 of NI 71-101 would require the Financial Statements to include a reconciliation to Canadian GAAP</w:t>
      </w:r>
      <w:r w:rsidR="00072158" w:rsidRPr="008A1DAC">
        <w:rPr>
          <w:rFonts w:ascii="Arial" w:hAnsi="Arial" w:cs="Arial"/>
          <w:sz w:val="22"/>
          <w:szCs w:val="22"/>
        </w:rPr>
        <w:t>; and</w:t>
      </w:r>
      <w:r w:rsidR="005F16D0" w:rsidRPr="008A1DAC">
        <w:rPr>
          <w:rFonts w:ascii="Arial" w:hAnsi="Arial" w:cs="Arial"/>
          <w:sz w:val="22"/>
          <w:szCs w:val="22"/>
        </w:rPr>
        <w:br/>
      </w:r>
    </w:p>
    <w:p w14:paraId="12A555CA" w14:textId="2F5A214D" w:rsidR="005D7B95" w:rsidRPr="008A1DAC" w:rsidRDefault="005D7B95" w:rsidP="005F16D0">
      <w:pPr>
        <w:pStyle w:val="ListParagraph"/>
        <w:numPr>
          <w:ilvl w:val="0"/>
          <w:numId w:val="6"/>
        </w:numPr>
        <w:spacing w:after="0"/>
        <w:ind w:left="360"/>
        <w:jc w:val="left"/>
        <w:rPr>
          <w:rFonts w:ascii="Arial" w:hAnsi="Arial" w:cs="Arial"/>
          <w:sz w:val="22"/>
          <w:szCs w:val="22"/>
        </w:rPr>
      </w:pPr>
      <w:r w:rsidRPr="008A1DAC">
        <w:rPr>
          <w:rFonts w:ascii="Arial" w:hAnsi="Arial" w:cs="Arial"/>
          <w:sz w:val="22"/>
          <w:szCs w:val="22"/>
        </w:rPr>
        <w:lastRenderedPageBreak/>
        <w:t>Royal Gold has advised the Filer that it falls within the definition of an SEC foreign issuer in NI 52-107 and, as such, relies on section 4.3 of NI 71-102 and section 3.7 of NI 52-107 to prepare the Financial Statements in satisfaction of its continuous disclosure obligations in Canada in accordance with U.S. GAAP without providing a reconciliation to Canadian GAAP.</w:t>
      </w:r>
      <w:r w:rsidR="005F16D0" w:rsidRPr="008A1DAC">
        <w:rPr>
          <w:rFonts w:ascii="Arial" w:hAnsi="Arial" w:cs="Arial"/>
          <w:sz w:val="22"/>
          <w:szCs w:val="22"/>
        </w:rPr>
        <w:br/>
      </w:r>
    </w:p>
    <w:p w14:paraId="6BD8F342" w14:textId="77777777" w:rsidR="005D7B95" w:rsidRPr="008A1DAC" w:rsidRDefault="005D7B95" w:rsidP="005F16D0">
      <w:pPr>
        <w:spacing w:after="0"/>
        <w:jc w:val="left"/>
        <w:outlineLvl w:val="1"/>
        <w:rPr>
          <w:rFonts w:ascii="Arial" w:hAnsi="Arial" w:cs="Arial"/>
          <w:sz w:val="22"/>
          <w:szCs w:val="22"/>
        </w:rPr>
      </w:pPr>
      <w:r w:rsidRPr="008A1DAC">
        <w:rPr>
          <w:rFonts w:ascii="Arial" w:hAnsi="Arial" w:cs="Arial"/>
          <w:b/>
          <w:sz w:val="22"/>
          <w:szCs w:val="22"/>
        </w:rPr>
        <w:t>Decision</w:t>
      </w:r>
    </w:p>
    <w:p w14:paraId="7CF912C0" w14:textId="77777777" w:rsidR="005D7B95" w:rsidRPr="008A1DAC" w:rsidRDefault="005D7B95" w:rsidP="00BE08C0">
      <w:pPr>
        <w:pStyle w:val="ParaNumbered"/>
        <w:ind w:left="18"/>
        <w:rPr>
          <w:rFonts w:ascii="Arial" w:hAnsi="Arial" w:cs="Arial"/>
          <w:sz w:val="22"/>
        </w:rPr>
      </w:pPr>
      <w:r w:rsidRPr="008A1DAC">
        <w:rPr>
          <w:rFonts w:ascii="Arial" w:hAnsi="Arial" w:cs="Arial"/>
          <w:sz w:val="22"/>
        </w:rPr>
        <w:t>Each of the Decision Makers is satisfied that the decision meets the test set out in the Legislation for the Decision Maker to make the decision.</w:t>
      </w:r>
    </w:p>
    <w:p w14:paraId="5E6EAFF8" w14:textId="77777777" w:rsidR="00072158" w:rsidRPr="008A1DAC" w:rsidRDefault="00072158" w:rsidP="005F16D0">
      <w:pPr>
        <w:spacing w:after="0"/>
        <w:jc w:val="left"/>
        <w:outlineLvl w:val="1"/>
        <w:rPr>
          <w:rFonts w:ascii="Arial" w:hAnsi="Arial" w:cs="Arial"/>
          <w:sz w:val="22"/>
          <w:szCs w:val="22"/>
        </w:rPr>
      </w:pPr>
    </w:p>
    <w:p w14:paraId="7A513F9D" w14:textId="77777777" w:rsidR="005D7B95" w:rsidRPr="008A1DAC" w:rsidRDefault="005D7B95" w:rsidP="005F16D0">
      <w:pPr>
        <w:spacing w:after="0"/>
        <w:jc w:val="left"/>
        <w:outlineLvl w:val="1"/>
        <w:rPr>
          <w:rFonts w:ascii="Arial" w:hAnsi="Arial" w:cs="Arial"/>
          <w:sz w:val="22"/>
          <w:szCs w:val="22"/>
        </w:rPr>
      </w:pPr>
      <w:r w:rsidRPr="008A1DAC">
        <w:rPr>
          <w:rFonts w:ascii="Arial" w:hAnsi="Arial" w:cs="Arial"/>
          <w:sz w:val="22"/>
          <w:szCs w:val="22"/>
        </w:rPr>
        <w:t>The decision of the Decision Makers under the Legislation is that the Exemption Sought is granted.</w:t>
      </w:r>
    </w:p>
    <w:p w14:paraId="0474C79B" w14:textId="77777777" w:rsidR="005D7B95" w:rsidRPr="008A1DAC" w:rsidRDefault="005D7B95" w:rsidP="005F16D0">
      <w:pPr>
        <w:spacing w:after="0"/>
        <w:jc w:val="left"/>
        <w:outlineLvl w:val="1"/>
        <w:rPr>
          <w:rFonts w:ascii="Arial" w:hAnsi="Arial" w:cs="Arial"/>
          <w:sz w:val="22"/>
          <w:szCs w:val="22"/>
        </w:rPr>
      </w:pPr>
    </w:p>
    <w:p w14:paraId="04D76EE7" w14:textId="77777777" w:rsidR="00BE08C0" w:rsidRPr="008A1DAC" w:rsidRDefault="00BE08C0" w:rsidP="005F16D0">
      <w:pPr>
        <w:pStyle w:val="Default"/>
        <w:keepNext/>
        <w:rPr>
          <w:sz w:val="22"/>
          <w:szCs w:val="22"/>
        </w:rPr>
      </w:pPr>
    </w:p>
    <w:p w14:paraId="510B8358" w14:textId="77777777" w:rsidR="00AC4CE9" w:rsidRPr="008A1DAC" w:rsidRDefault="00AC4CE9" w:rsidP="005F16D0">
      <w:pPr>
        <w:pStyle w:val="Default"/>
        <w:keepNext/>
        <w:rPr>
          <w:sz w:val="22"/>
          <w:szCs w:val="22"/>
        </w:rPr>
      </w:pPr>
    </w:p>
    <w:p w14:paraId="2F843933" w14:textId="77777777" w:rsidR="00AC4CE9" w:rsidRPr="008A1DAC" w:rsidRDefault="00AC4CE9" w:rsidP="005F16D0">
      <w:pPr>
        <w:pStyle w:val="Default"/>
        <w:keepNext/>
        <w:rPr>
          <w:sz w:val="22"/>
          <w:szCs w:val="22"/>
        </w:rPr>
      </w:pPr>
    </w:p>
    <w:p w14:paraId="45A7D2FE" w14:textId="53BC67EB" w:rsidR="00AC4CE9" w:rsidRPr="008A1DAC" w:rsidRDefault="00663069" w:rsidP="005F16D0">
      <w:pPr>
        <w:pStyle w:val="Default"/>
        <w:keepNext/>
        <w:rPr>
          <w:sz w:val="22"/>
          <w:szCs w:val="22"/>
        </w:rPr>
      </w:pPr>
      <w:r w:rsidRPr="008A1DAC">
        <w:rPr>
          <w:sz w:val="22"/>
          <w:szCs w:val="22"/>
        </w:rPr>
        <w:t>Anita Cyr</w:t>
      </w:r>
      <w:r w:rsidR="00AC4CE9" w:rsidRPr="008A1DAC">
        <w:rPr>
          <w:sz w:val="22"/>
          <w:szCs w:val="22"/>
        </w:rPr>
        <w:t>,</w:t>
      </w:r>
    </w:p>
    <w:p w14:paraId="0C005C30" w14:textId="10F9A6F6" w:rsidR="005D7B95" w:rsidRPr="008A1DAC" w:rsidRDefault="00663069" w:rsidP="005F16D0">
      <w:pPr>
        <w:pStyle w:val="Default"/>
        <w:keepNext/>
        <w:rPr>
          <w:sz w:val="22"/>
          <w:szCs w:val="22"/>
        </w:rPr>
      </w:pPr>
      <w:r w:rsidRPr="008A1DAC">
        <w:rPr>
          <w:sz w:val="22"/>
          <w:szCs w:val="22"/>
        </w:rPr>
        <w:t xml:space="preserve">Acting </w:t>
      </w:r>
      <w:r w:rsidR="00E83EB5" w:rsidRPr="008A1DAC">
        <w:rPr>
          <w:sz w:val="22"/>
          <w:szCs w:val="22"/>
        </w:rPr>
        <w:t xml:space="preserve">Director, </w:t>
      </w:r>
      <w:r w:rsidR="005D7B95" w:rsidRPr="008A1DAC">
        <w:rPr>
          <w:sz w:val="22"/>
          <w:szCs w:val="22"/>
        </w:rPr>
        <w:t xml:space="preserve">Corporate Finance </w:t>
      </w:r>
    </w:p>
    <w:p w14:paraId="04DD617A" w14:textId="77777777" w:rsidR="005D7B95" w:rsidRPr="008A1DAC" w:rsidRDefault="005D7B95" w:rsidP="005F16D0">
      <w:pPr>
        <w:pStyle w:val="Default"/>
        <w:keepNext/>
        <w:rPr>
          <w:sz w:val="22"/>
          <w:szCs w:val="22"/>
        </w:rPr>
      </w:pPr>
      <w:r w:rsidRPr="008A1DAC">
        <w:rPr>
          <w:sz w:val="22"/>
          <w:szCs w:val="22"/>
        </w:rPr>
        <w:t>British Columbia Securities Commission</w:t>
      </w:r>
    </w:p>
    <w:p w14:paraId="2B998F21" w14:textId="77777777" w:rsidR="00FF3627" w:rsidRPr="008A1DAC" w:rsidRDefault="00FF3627" w:rsidP="005F16D0">
      <w:pPr>
        <w:spacing w:after="0"/>
        <w:jc w:val="left"/>
        <w:rPr>
          <w:rFonts w:ascii="Arial" w:hAnsi="Arial" w:cs="Arial"/>
          <w:sz w:val="22"/>
          <w:szCs w:val="22"/>
        </w:rPr>
      </w:pPr>
    </w:p>
    <w:sectPr w:rsidR="00FF3627" w:rsidRPr="008A1DAC" w:rsidSect="005D7B95">
      <w:pgSz w:w="12240" w:h="15840" w:code="1"/>
      <w:pgMar w:top="1440" w:right="1440" w:bottom="1080" w:left="1440"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91250" w14:textId="77777777" w:rsidR="0059054C" w:rsidRDefault="0059054C" w:rsidP="005D7B95">
      <w:pPr>
        <w:spacing w:after="0"/>
      </w:pPr>
      <w:r>
        <w:separator/>
      </w:r>
    </w:p>
  </w:endnote>
  <w:endnote w:type="continuationSeparator" w:id="0">
    <w:p w14:paraId="7D433E3D" w14:textId="77777777" w:rsidR="0059054C" w:rsidRDefault="0059054C" w:rsidP="005D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57F7" w14:textId="77777777" w:rsidR="0059054C" w:rsidRDefault="0059054C" w:rsidP="005D7B95">
      <w:pPr>
        <w:spacing w:after="0"/>
      </w:pPr>
      <w:r>
        <w:separator/>
      </w:r>
    </w:p>
  </w:footnote>
  <w:footnote w:type="continuationSeparator" w:id="0">
    <w:p w14:paraId="6A3160A0" w14:textId="77777777" w:rsidR="0059054C" w:rsidRDefault="0059054C" w:rsidP="005D7B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C55"/>
    <w:multiLevelType w:val="hybridMultilevel"/>
    <w:tmpl w:val="C2548624"/>
    <w:lvl w:ilvl="0" w:tplc="7FDCB9A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9079EE"/>
    <w:multiLevelType w:val="hybridMultilevel"/>
    <w:tmpl w:val="01E2A1F6"/>
    <w:lvl w:ilvl="0" w:tplc="62F243B6">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37E6489"/>
    <w:multiLevelType w:val="multilevel"/>
    <w:tmpl w:val="8C26F332"/>
    <w:name w:val="Items"/>
    <w:lvl w:ilvl="0">
      <w:start w:val="1"/>
      <w:numFmt w:val="decimal"/>
      <w:lvlRestart w:val="0"/>
      <w:pStyle w:val="ParaNumbered"/>
      <w:lvlText w:val="¶ %1"/>
      <w:lvlJc w:val="left"/>
      <w:pPr>
        <w:tabs>
          <w:tab w:val="num" w:pos="0"/>
        </w:tabs>
        <w:ind w:left="618" w:hanging="618"/>
      </w:pPr>
    </w:lvl>
    <w:lvl w:ilvl="1">
      <w:start w:val="1"/>
      <w:numFmt w:val="decimal"/>
      <w:lvlText w:val="%2."/>
      <w:lvlJc w:val="left"/>
      <w:pPr>
        <w:tabs>
          <w:tab w:val="num" w:pos="567"/>
        </w:tabs>
        <w:ind w:left="567" w:hanging="567"/>
      </w:pPr>
    </w:lvl>
    <w:lvl w:ilvl="2">
      <w:start w:val="1"/>
      <w:numFmt w:val="lowerLetter"/>
      <w:lvlRestart w:val="1"/>
      <w:lvlText w:val="(%3)"/>
      <w:lvlJc w:val="left"/>
      <w:pPr>
        <w:tabs>
          <w:tab w:val="num" w:pos="1134"/>
        </w:tabs>
        <w:ind w:left="1134" w:hanging="567"/>
      </w:pPr>
    </w:lvl>
    <w:lvl w:ilvl="3">
      <w:start w:val="1"/>
      <w:numFmt w:val="lowerRoman"/>
      <w:lvlRestart w:val="1"/>
      <w:lvlText w:val="(%4)"/>
      <w:lvlJc w:val="left"/>
      <w:pPr>
        <w:tabs>
          <w:tab w:val="num" w:pos="1701"/>
        </w:tabs>
        <w:ind w:left="1701" w:hanging="567"/>
      </w:pPr>
    </w:lvl>
    <w:lvl w:ilvl="4">
      <w:start w:val="1"/>
      <w:numFmt w:val="lowerLetter"/>
      <w:lvlRestart w:val="1"/>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BF4ACB"/>
    <w:multiLevelType w:val="hybridMultilevel"/>
    <w:tmpl w:val="30965F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EF26D3"/>
    <w:multiLevelType w:val="hybridMultilevel"/>
    <w:tmpl w:val="3DE2618A"/>
    <w:lvl w:ilvl="0" w:tplc="2CAC11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C70331"/>
    <w:multiLevelType w:val="hybridMultilevel"/>
    <w:tmpl w:val="32B01534"/>
    <w:lvl w:ilvl="0" w:tplc="3E12C44A">
      <w:start w:val="1"/>
      <w:numFmt w:val="lowerLetter"/>
      <w:lvlText w:val="(%1)"/>
      <w:lvlJc w:val="left"/>
      <w:pPr>
        <w:ind w:left="720" w:hanging="360"/>
      </w:pPr>
      <w:rPr>
        <w:rFonts w:hint="default"/>
      </w:rPr>
    </w:lvl>
    <w:lvl w:ilvl="1" w:tplc="E1F2949A">
      <w:start w:val="1"/>
      <w:numFmt w:val="lowerLetter"/>
      <w:lvlText w:val="(%2)"/>
      <w:lvlJc w:val="left"/>
      <w:pPr>
        <w:ind w:left="1440" w:hanging="360"/>
      </w:pPr>
      <w:rPr>
        <w:rFonts w:hint="default"/>
      </w:rPr>
    </w:lvl>
    <w:lvl w:ilvl="2" w:tplc="688C1FAE" w:tentative="1">
      <w:start w:val="1"/>
      <w:numFmt w:val="lowerRoman"/>
      <w:lvlText w:val="%3."/>
      <w:lvlJc w:val="right"/>
      <w:pPr>
        <w:ind w:left="2160" w:hanging="180"/>
      </w:pPr>
    </w:lvl>
    <w:lvl w:ilvl="3" w:tplc="A440BAD6" w:tentative="1">
      <w:start w:val="1"/>
      <w:numFmt w:val="decimal"/>
      <w:lvlText w:val="%4."/>
      <w:lvlJc w:val="left"/>
      <w:pPr>
        <w:ind w:left="2880" w:hanging="360"/>
      </w:pPr>
    </w:lvl>
    <w:lvl w:ilvl="4" w:tplc="4542530E" w:tentative="1">
      <w:start w:val="1"/>
      <w:numFmt w:val="lowerLetter"/>
      <w:lvlText w:val="%5."/>
      <w:lvlJc w:val="left"/>
      <w:pPr>
        <w:ind w:left="3600" w:hanging="360"/>
      </w:pPr>
    </w:lvl>
    <w:lvl w:ilvl="5" w:tplc="C332050C" w:tentative="1">
      <w:start w:val="1"/>
      <w:numFmt w:val="lowerRoman"/>
      <w:lvlText w:val="%6."/>
      <w:lvlJc w:val="right"/>
      <w:pPr>
        <w:ind w:left="4320" w:hanging="180"/>
      </w:pPr>
    </w:lvl>
    <w:lvl w:ilvl="6" w:tplc="F8DA5F74" w:tentative="1">
      <w:start w:val="1"/>
      <w:numFmt w:val="decimal"/>
      <w:lvlText w:val="%7."/>
      <w:lvlJc w:val="left"/>
      <w:pPr>
        <w:ind w:left="5040" w:hanging="360"/>
      </w:pPr>
    </w:lvl>
    <w:lvl w:ilvl="7" w:tplc="77649E8C" w:tentative="1">
      <w:start w:val="1"/>
      <w:numFmt w:val="lowerLetter"/>
      <w:lvlText w:val="%8."/>
      <w:lvlJc w:val="left"/>
      <w:pPr>
        <w:ind w:left="5760" w:hanging="360"/>
      </w:pPr>
    </w:lvl>
    <w:lvl w:ilvl="8" w:tplc="EEA60D7E" w:tentative="1">
      <w:start w:val="1"/>
      <w:numFmt w:val="lowerRoman"/>
      <w:lvlText w:val="%9."/>
      <w:lvlJc w:val="right"/>
      <w:pPr>
        <w:ind w:left="6480" w:hanging="180"/>
      </w:pPr>
    </w:lvl>
  </w:abstractNum>
  <w:abstractNum w:abstractNumId="6" w15:restartNumberingAfterBreak="0">
    <w:nsid w:val="537B6F0E"/>
    <w:multiLevelType w:val="hybridMultilevel"/>
    <w:tmpl w:val="8FECFD20"/>
    <w:lvl w:ilvl="0" w:tplc="D9C60F36">
      <w:start w:val="1"/>
      <w:numFmt w:val="decimal"/>
      <w:lvlText w:val="%1."/>
      <w:lvlJc w:val="left"/>
      <w:pPr>
        <w:ind w:left="720" w:hanging="360"/>
      </w:pPr>
    </w:lvl>
    <w:lvl w:ilvl="1" w:tplc="C7F4694A" w:tentative="1">
      <w:start w:val="1"/>
      <w:numFmt w:val="lowerLetter"/>
      <w:lvlText w:val="%2."/>
      <w:lvlJc w:val="left"/>
      <w:pPr>
        <w:ind w:left="1440" w:hanging="360"/>
      </w:pPr>
    </w:lvl>
    <w:lvl w:ilvl="2" w:tplc="B4DCCA04" w:tentative="1">
      <w:start w:val="1"/>
      <w:numFmt w:val="lowerRoman"/>
      <w:lvlText w:val="%3."/>
      <w:lvlJc w:val="right"/>
      <w:pPr>
        <w:ind w:left="2160" w:hanging="180"/>
      </w:pPr>
    </w:lvl>
    <w:lvl w:ilvl="3" w:tplc="84A8C34C" w:tentative="1">
      <w:start w:val="1"/>
      <w:numFmt w:val="decimal"/>
      <w:lvlText w:val="%4."/>
      <w:lvlJc w:val="left"/>
      <w:pPr>
        <w:ind w:left="2880" w:hanging="360"/>
      </w:pPr>
    </w:lvl>
    <w:lvl w:ilvl="4" w:tplc="AB94F694" w:tentative="1">
      <w:start w:val="1"/>
      <w:numFmt w:val="lowerLetter"/>
      <w:lvlText w:val="%5."/>
      <w:lvlJc w:val="left"/>
      <w:pPr>
        <w:ind w:left="3600" w:hanging="360"/>
      </w:pPr>
    </w:lvl>
    <w:lvl w:ilvl="5" w:tplc="2C20414E" w:tentative="1">
      <w:start w:val="1"/>
      <w:numFmt w:val="lowerRoman"/>
      <w:lvlText w:val="%6."/>
      <w:lvlJc w:val="right"/>
      <w:pPr>
        <w:ind w:left="4320" w:hanging="180"/>
      </w:pPr>
    </w:lvl>
    <w:lvl w:ilvl="6" w:tplc="9CCCCEF2" w:tentative="1">
      <w:start w:val="1"/>
      <w:numFmt w:val="decimal"/>
      <w:lvlText w:val="%7."/>
      <w:lvlJc w:val="left"/>
      <w:pPr>
        <w:ind w:left="5040" w:hanging="360"/>
      </w:pPr>
    </w:lvl>
    <w:lvl w:ilvl="7" w:tplc="CBFAAE40" w:tentative="1">
      <w:start w:val="1"/>
      <w:numFmt w:val="lowerLetter"/>
      <w:lvlText w:val="%8."/>
      <w:lvlJc w:val="left"/>
      <w:pPr>
        <w:ind w:left="5760" w:hanging="360"/>
      </w:pPr>
    </w:lvl>
    <w:lvl w:ilvl="8" w:tplc="59E4D9AA" w:tentative="1">
      <w:start w:val="1"/>
      <w:numFmt w:val="lowerRoman"/>
      <w:lvlText w:val="%9."/>
      <w:lvlJc w:val="right"/>
      <w:pPr>
        <w:ind w:left="6480" w:hanging="180"/>
      </w:pPr>
    </w:lvl>
  </w:abstractNum>
  <w:num w:numId="1" w16cid:durableId="1794592359">
    <w:abstractNumId w:val="5"/>
  </w:num>
  <w:num w:numId="2" w16cid:durableId="785855782">
    <w:abstractNumId w:val="6"/>
  </w:num>
  <w:num w:numId="3" w16cid:durableId="2076246140">
    <w:abstractNumId w:val="0"/>
  </w:num>
  <w:num w:numId="4" w16cid:durableId="1269897784">
    <w:abstractNumId w:val="1"/>
  </w:num>
  <w:num w:numId="5" w16cid:durableId="348877318">
    <w:abstractNumId w:val="4"/>
  </w:num>
  <w:num w:numId="6" w16cid:durableId="356349357">
    <w:abstractNumId w:val="3"/>
  </w:num>
  <w:num w:numId="7" w16cid:durableId="157335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95"/>
    <w:rsid w:val="000134B2"/>
    <w:rsid w:val="000431E3"/>
    <w:rsid w:val="00065D30"/>
    <w:rsid w:val="00072158"/>
    <w:rsid w:val="000A23CE"/>
    <w:rsid w:val="000C454E"/>
    <w:rsid w:val="000D2476"/>
    <w:rsid w:val="000E501D"/>
    <w:rsid w:val="0010329B"/>
    <w:rsid w:val="00150B02"/>
    <w:rsid w:val="0015434D"/>
    <w:rsid w:val="001A52FC"/>
    <w:rsid w:val="001C4BD5"/>
    <w:rsid w:val="001D2C76"/>
    <w:rsid w:val="001E5786"/>
    <w:rsid w:val="001F4E4E"/>
    <w:rsid w:val="00216BCE"/>
    <w:rsid w:val="0022765A"/>
    <w:rsid w:val="00277ABF"/>
    <w:rsid w:val="0028277F"/>
    <w:rsid w:val="002A5FDA"/>
    <w:rsid w:val="002E5398"/>
    <w:rsid w:val="002F092E"/>
    <w:rsid w:val="002F5D89"/>
    <w:rsid w:val="00322CEA"/>
    <w:rsid w:val="00480DDA"/>
    <w:rsid w:val="004A5C3C"/>
    <w:rsid w:val="004B4543"/>
    <w:rsid w:val="00526236"/>
    <w:rsid w:val="0059054C"/>
    <w:rsid w:val="005C58E1"/>
    <w:rsid w:val="005D7B95"/>
    <w:rsid w:val="005F16D0"/>
    <w:rsid w:val="00601B40"/>
    <w:rsid w:val="00607AE3"/>
    <w:rsid w:val="00663069"/>
    <w:rsid w:val="006919F4"/>
    <w:rsid w:val="00711026"/>
    <w:rsid w:val="00717B7D"/>
    <w:rsid w:val="00730E5A"/>
    <w:rsid w:val="00763B3F"/>
    <w:rsid w:val="007644DA"/>
    <w:rsid w:val="007750C6"/>
    <w:rsid w:val="007E6498"/>
    <w:rsid w:val="00844AC2"/>
    <w:rsid w:val="0086244F"/>
    <w:rsid w:val="0088798D"/>
    <w:rsid w:val="008A1DAC"/>
    <w:rsid w:val="008A3898"/>
    <w:rsid w:val="008F46F5"/>
    <w:rsid w:val="00933DD6"/>
    <w:rsid w:val="009953BD"/>
    <w:rsid w:val="00A33155"/>
    <w:rsid w:val="00A91662"/>
    <w:rsid w:val="00AB244A"/>
    <w:rsid w:val="00AC4CE9"/>
    <w:rsid w:val="00B12A1D"/>
    <w:rsid w:val="00B13CF7"/>
    <w:rsid w:val="00B429ED"/>
    <w:rsid w:val="00B71123"/>
    <w:rsid w:val="00BA16BC"/>
    <w:rsid w:val="00BE08C0"/>
    <w:rsid w:val="00BF1DD6"/>
    <w:rsid w:val="00C06438"/>
    <w:rsid w:val="00C25B55"/>
    <w:rsid w:val="00C501A2"/>
    <w:rsid w:val="00C536FB"/>
    <w:rsid w:val="00C76645"/>
    <w:rsid w:val="00C939FA"/>
    <w:rsid w:val="00CB3316"/>
    <w:rsid w:val="00CC38FC"/>
    <w:rsid w:val="00DA0A04"/>
    <w:rsid w:val="00DB6C21"/>
    <w:rsid w:val="00DE157C"/>
    <w:rsid w:val="00E01CC3"/>
    <w:rsid w:val="00E27E3F"/>
    <w:rsid w:val="00E4570A"/>
    <w:rsid w:val="00E83EB5"/>
    <w:rsid w:val="00F43079"/>
    <w:rsid w:val="00F62A90"/>
    <w:rsid w:val="00FE1356"/>
    <w:rsid w:val="00FF3627"/>
    <w:rsid w:val="05DFEA5E"/>
    <w:rsid w:val="095CE951"/>
    <w:rsid w:val="09BEB64B"/>
    <w:rsid w:val="0FC5C799"/>
    <w:rsid w:val="13322F0C"/>
    <w:rsid w:val="26900A07"/>
    <w:rsid w:val="2823E11D"/>
    <w:rsid w:val="4F105762"/>
    <w:rsid w:val="64B63536"/>
    <w:rsid w:val="6B243397"/>
    <w:rsid w:val="70837685"/>
    <w:rsid w:val="72C86F66"/>
    <w:rsid w:val="7356A5D4"/>
    <w:rsid w:val="7B00170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18F3"/>
  <w15:chartTrackingRefBased/>
  <w15:docId w15:val="{C919BE7D-5F14-40B6-BDC3-1A8DB21A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95"/>
    <w:pPr>
      <w:spacing w:after="240" w:line="240" w:lineRule="auto"/>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D7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B95"/>
    <w:rPr>
      <w:rFonts w:eastAsiaTheme="majorEastAsia" w:cstheme="majorBidi"/>
      <w:color w:val="272727" w:themeColor="text1" w:themeTint="D8"/>
    </w:rPr>
  </w:style>
  <w:style w:type="paragraph" w:styleId="Title">
    <w:name w:val="Title"/>
    <w:basedOn w:val="Normal"/>
    <w:next w:val="Normal"/>
    <w:link w:val="TitleChar"/>
    <w:uiPriority w:val="10"/>
    <w:qFormat/>
    <w:rsid w:val="005D7B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B95"/>
    <w:pPr>
      <w:spacing w:before="160"/>
      <w:jc w:val="center"/>
    </w:pPr>
    <w:rPr>
      <w:i/>
      <w:iCs/>
      <w:color w:val="404040" w:themeColor="text1" w:themeTint="BF"/>
    </w:rPr>
  </w:style>
  <w:style w:type="character" w:customStyle="1" w:styleId="QuoteChar">
    <w:name w:val="Quote Char"/>
    <w:basedOn w:val="DefaultParagraphFont"/>
    <w:link w:val="Quote"/>
    <w:uiPriority w:val="29"/>
    <w:rsid w:val="005D7B95"/>
    <w:rPr>
      <w:i/>
      <w:iCs/>
      <w:color w:val="404040" w:themeColor="text1" w:themeTint="BF"/>
    </w:rPr>
  </w:style>
  <w:style w:type="paragraph" w:styleId="ListParagraph">
    <w:name w:val="List Paragraph"/>
    <w:basedOn w:val="Normal"/>
    <w:uiPriority w:val="34"/>
    <w:qFormat/>
    <w:rsid w:val="005D7B95"/>
    <w:pPr>
      <w:ind w:left="720"/>
      <w:contextualSpacing/>
    </w:pPr>
  </w:style>
  <w:style w:type="character" w:styleId="IntenseEmphasis">
    <w:name w:val="Intense Emphasis"/>
    <w:basedOn w:val="DefaultParagraphFont"/>
    <w:uiPriority w:val="21"/>
    <w:qFormat/>
    <w:rsid w:val="005D7B95"/>
    <w:rPr>
      <w:i/>
      <w:iCs/>
      <w:color w:val="0F4761" w:themeColor="accent1" w:themeShade="BF"/>
    </w:rPr>
  </w:style>
  <w:style w:type="paragraph" w:styleId="IntenseQuote">
    <w:name w:val="Intense Quote"/>
    <w:basedOn w:val="Normal"/>
    <w:next w:val="Normal"/>
    <w:link w:val="IntenseQuoteChar"/>
    <w:uiPriority w:val="30"/>
    <w:qFormat/>
    <w:rsid w:val="005D7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B95"/>
    <w:rPr>
      <w:i/>
      <w:iCs/>
      <w:color w:val="0F4761" w:themeColor="accent1" w:themeShade="BF"/>
    </w:rPr>
  </w:style>
  <w:style w:type="character" w:styleId="IntenseReference">
    <w:name w:val="Intense Reference"/>
    <w:basedOn w:val="DefaultParagraphFont"/>
    <w:uiPriority w:val="32"/>
    <w:qFormat/>
    <w:rsid w:val="005D7B95"/>
    <w:rPr>
      <w:b/>
      <w:bCs/>
      <w:smallCaps/>
      <w:color w:val="0F4761" w:themeColor="accent1" w:themeShade="BF"/>
      <w:spacing w:val="5"/>
    </w:rPr>
  </w:style>
  <w:style w:type="character" w:customStyle="1" w:styleId="Prompt">
    <w:name w:val="Prompt"/>
    <w:aliases w:val="PR"/>
    <w:rsid w:val="005D7B95"/>
    <w:rPr>
      <w:color w:val="auto"/>
    </w:rPr>
  </w:style>
  <w:style w:type="paragraph" w:styleId="Header">
    <w:name w:val="header"/>
    <w:basedOn w:val="Normal"/>
    <w:link w:val="HeaderChar"/>
    <w:uiPriority w:val="99"/>
    <w:unhideWhenUsed/>
    <w:rsid w:val="005D7B95"/>
    <w:pPr>
      <w:tabs>
        <w:tab w:val="center" w:pos="4680"/>
        <w:tab w:val="right" w:pos="9360"/>
      </w:tabs>
      <w:spacing w:after="0"/>
    </w:pPr>
  </w:style>
  <w:style w:type="character" w:customStyle="1" w:styleId="HeaderChar">
    <w:name w:val="Header Char"/>
    <w:basedOn w:val="DefaultParagraphFont"/>
    <w:link w:val="Header"/>
    <w:uiPriority w:val="99"/>
    <w:rsid w:val="005D7B9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D7B95"/>
    <w:pPr>
      <w:tabs>
        <w:tab w:val="center" w:pos="4680"/>
        <w:tab w:val="right" w:pos="9360"/>
      </w:tabs>
      <w:spacing w:after="0"/>
    </w:pPr>
  </w:style>
  <w:style w:type="character" w:customStyle="1" w:styleId="FooterChar">
    <w:name w:val="Footer Char"/>
    <w:basedOn w:val="DefaultParagraphFont"/>
    <w:link w:val="Footer"/>
    <w:uiPriority w:val="99"/>
    <w:rsid w:val="005D7B95"/>
    <w:rPr>
      <w:rFonts w:ascii="Times New Roman" w:eastAsia="Times New Roman" w:hAnsi="Times New Roman" w:cs="Times New Roman"/>
      <w:kern w:val="0"/>
      <w:sz w:val="24"/>
      <w:szCs w:val="24"/>
      <w14:ligatures w14:val="none"/>
    </w:rPr>
  </w:style>
  <w:style w:type="paragraph" w:customStyle="1" w:styleId="BodyText">
    <w:name w:val="#BodyText"/>
    <w:basedOn w:val="Normal"/>
    <w:qFormat/>
    <w:rsid w:val="005D7B95"/>
    <w:rPr>
      <w:rFonts w:ascii="Arial" w:hAnsi="Arial"/>
      <w:sz w:val="20"/>
      <w:szCs w:val="20"/>
      <w:lang w:eastAsia="en-CA"/>
    </w:rPr>
  </w:style>
  <w:style w:type="paragraph" w:customStyle="1" w:styleId="Default">
    <w:name w:val="Default"/>
    <w:rsid w:val="005D7B95"/>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216BCE"/>
    <w:rPr>
      <w:sz w:val="16"/>
      <w:szCs w:val="16"/>
    </w:rPr>
  </w:style>
  <w:style w:type="paragraph" w:styleId="CommentText">
    <w:name w:val="annotation text"/>
    <w:basedOn w:val="Normal"/>
    <w:link w:val="CommentTextChar"/>
    <w:uiPriority w:val="99"/>
    <w:unhideWhenUsed/>
    <w:rsid w:val="00216BCE"/>
    <w:rPr>
      <w:sz w:val="20"/>
      <w:szCs w:val="20"/>
    </w:rPr>
  </w:style>
  <w:style w:type="character" w:customStyle="1" w:styleId="CommentTextChar">
    <w:name w:val="Comment Text Char"/>
    <w:basedOn w:val="DefaultParagraphFont"/>
    <w:link w:val="CommentText"/>
    <w:uiPriority w:val="99"/>
    <w:rsid w:val="00216BC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16BCE"/>
    <w:rPr>
      <w:b/>
      <w:bCs/>
    </w:rPr>
  </w:style>
  <w:style w:type="character" w:customStyle="1" w:styleId="CommentSubjectChar">
    <w:name w:val="Comment Subject Char"/>
    <w:basedOn w:val="CommentTextChar"/>
    <w:link w:val="CommentSubject"/>
    <w:uiPriority w:val="99"/>
    <w:semiHidden/>
    <w:rsid w:val="00216BCE"/>
    <w:rPr>
      <w:rFonts w:ascii="Times New Roman" w:eastAsia="Times New Roman" w:hAnsi="Times New Roman" w:cs="Times New Roman"/>
      <w:b/>
      <w:bCs/>
      <w:kern w:val="0"/>
      <w:sz w:val="20"/>
      <w:szCs w:val="20"/>
      <w14:ligatures w14:val="none"/>
    </w:rPr>
  </w:style>
  <w:style w:type="paragraph" w:customStyle="1" w:styleId="ParaNumbered">
    <w:name w:val="Para Numbered"/>
    <w:basedOn w:val="Normal"/>
    <w:rsid w:val="005F16D0"/>
    <w:pPr>
      <w:numPr>
        <w:numId w:val="7"/>
      </w:numPr>
      <w:spacing w:after="0"/>
      <w:ind w:leftChars="-250" w:left="-250"/>
      <w:jc w:val="left"/>
    </w:pPr>
    <w:rPr>
      <w:szCs w:val="22"/>
    </w:rPr>
  </w:style>
  <w:style w:type="paragraph" w:styleId="Revision">
    <w:name w:val="Revision"/>
    <w:hidden/>
    <w:uiPriority w:val="99"/>
    <w:semiHidden/>
    <w:rsid w:val="00C536FB"/>
    <w:pPr>
      <w:spacing w:after="0" w:line="240" w:lineRule="auto"/>
    </w:pPr>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8A1DAC"/>
    <w:pPr>
      <w:spacing w:after="0"/>
    </w:pPr>
    <w:rPr>
      <w:bCs/>
      <w:sz w:val="20"/>
      <w:szCs w:val="20"/>
      <w:lang w:val="en-GB"/>
    </w:rPr>
  </w:style>
  <w:style w:type="character" w:customStyle="1" w:styleId="BodyText2Char">
    <w:name w:val="Body Text 2 Char"/>
    <w:basedOn w:val="DefaultParagraphFont"/>
    <w:link w:val="BodyText2"/>
    <w:rsid w:val="008A1DAC"/>
    <w:rPr>
      <w:rFonts w:ascii="Times New Roman" w:eastAsia="Times New Roman" w:hAnsi="Times New Roman" w:cs="Times New Roman"/>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CSC_x0020_Version xmlns="606b7ae2-133c-4b9b-9d7d-bff6530e2cf2" xsi:nil="true"/>
    <Party_x0020_Name xmlns="606b7ae2-133c-4b9b-9d7d-bff6530e2cf2">Sandstorm Gold Ltd.</Party_x0020_Name>
    <_dlc_DocId xmlns="606b7ae2-133c-4b9b-9d7d-bff6530e2cf2">CFLS-1419418239-57</_dlc_DocId>
    <Additional_x0020_Party_x0020_Names xmlns="606b7ae2-133c-4b9b-9d7d-bff6530e2cf2">Click to edit...</Additional_x0020_Party_x0020_Names>
    <Party_x0020_ID xmlns="606b7ae2-133c-4b9b-9d7d-bff6530e2cf2">284760</Party_x0020_ID>
    <_dlc_DocIdUrl xmlns="606b7ae2-133c-4b9b-9d7d-bff6530e2cf2">
      <Url>https://bcsecuritiescommission.sharepoint.com/sites/CorporateFinanceLegalServices/_layouts/15/DocIdRedir.aspx?ID=CFLS-1419418239-57</Url>
      <Description>CFLS-1419418239-57</Description>
    </_dlc_DocIdUrl>
    <Additional_x0020_Party_x0020_IDs xmlns="606b7ae2-133c-4b9b-9d7d-bff6530e2cf2">Click to edit...</Additional_x0020_Party_x0020_IDs>
    <BCSC_x0020_Version_x0020_Comments xmlns="606b7ae2-133c-4b9b-9d7d-bff6530e2cf2" xsi:nil="true"/>
    <File_x0020_Description xmlns="606b7ae2-133c-4b9b-9d7d-bff6530e2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FLS Public Orders Document" ma:contentTypeID="0x010100CCA6DF290ED7436096A8EE6DC92B49ACBA0007185C6F98F9944297D6F49FA5351056" ma:contentTypeVersion="4" ma:contentTypeDescription=" " ma:contentTypeScope="" ma:versionID="96752d1bab4cd5f2b31930478c7d139c">
  <xsd:schema xmlns:xsd="http://www.w3.org/2001/XMLSchema" xmlns:xs="http://www.w3.org/2001/XMLSchema" xmlns:p="http://schemas.microsoft.com/office/2006/metadata/properties" xmlns:ns2="606b7ae2-133c-4b9b-9d7d-bff6530e2cf2" targetNamespace="http://schemas.microsoft.com/office/2006/metadata/properties" ma:root="true" ma:fieldsID="037ff9bb9c5134dbd56eb24565fe9534" ns2:_="">
    <xsd:import namespace="606b7ae2-133c-4b9b-9d7d-bff6530e2cf2"/>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_dlc_DocIdUrl"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7ae2-133c-4b9b-9d7d-bff6530e2cf2" elementFormDefault="qualified">
    <xsd:import namespace="http://schemas.microsoft.com/office/2006/documentManagement/types"/>
    <xsd:import namespace="http://schemas.microsoft.com/office/infopath/2007/PartnerControls"/>
    <xsd:element name="File_x0020_Description" ma:index="2" nillable="true" ma:displayName="File Description" ma:default="" ma:internalName="File_x0020_Description" ma:readOnly="false">
      <xsd:simpleType>
        <xsd:restriction base="dms:Note"/>
      </xsd:simpleType>
    </xsd:element>
    <xsd:element name="BCSC_x0020_Version" ma:index="3" nillable="true" ma:displayName="BCSC Version" ma:default="" ma:description="" ma:internalName="BCSC_x0020_Version" ma:readOnly="false" ma:percentage="FALSE">
      <xsd:simpleType>
        <xsd:restriction base="dms:Number">
          <xsd:minInclusive value="0"/>
        </xsd:restriction>
      </xsd:simpleType>
    </xsd:element>
    <xsd:element name="BCSC_x0020_Version_x0020_Comments" ma:index="4" nillable="true" ma:displayName="BCSC Version Comments" ma:default="" ma:description="" ma:internalName="BCSC_x0020_Version_x0020_Comments" ma:readOnly="false">
      <xsd:simpleType>
        <xsd:restriction base="dms:Text">
          <xsd:maxLength value="255"/>
        </xsd:restriction>
      </xsd:simpleType>
    </xsd:element>
    <xsd:element name="Party_x0020_Name" ma:index="5" nillable="true" ma:displayName="Party Name" ma:default="" ma:description="" ma:internalName="Party_x0020_Name" ma:readOnly="false">
      <xsd:simpleType>
        <xsd:restriction base="dms:Text">
          <xsd:maxLength value="255"/>
        </xsd:restriction>
      </xsd:simpleType>
    </xsd:element>
    <xsd:element name="Party_x0020_ID" ma:index="6" nillable="true" ma:displayName="Party ID" ma:default="" ma:description="" ma:internalName="Party_x0020_ID" ma:readOnly="false">
      <xsd:simpleType>
        <xsd:restriction base="dms:Text">
          <xsd:maxLength value="255"/>
        </xsd:restriction>
      </xsd:simpleType>
    </xsd:element>
    <xsd:element name="Additional_x0020_Party_x0020_Names" ma:index="7" nillable="true" ma:displayName="Additional Party Names" ma:default="" ma:description="" ma:internalName="Additional_x0020_Party_x0020_Names" ma:readOnly="false">
      <xsd:simpleType>
        <xsd:restriction base="dms:Note">
          <xsd:maxLength value="255"/>
        </xsd:restriction>
      </xsd:simpleType>
    </xsd:element>
    <xsd:element name="Additional_x0020_Party_x0020_IDs" ma:index="8" nillable="true" ma:displayName="Additional Party IDs" ma:default="" ma:description="" ma:internalName="Additional_x0020_Party_x0020_IDs" ma:readOnly="false">
      <xsd:simpleType>
        <xsd:restriction base="dms:Note">
          <xsd:maxLength value="255"/>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&amp;amp;amp;amp;amp;amp;amp;amp;amp;amp;amp;amp;amp;amp;amp;lt;FormUrls xmlns="http://schemas.microsoft.com/sharepoint/v3/contenttype/forms/url"&amp;amp;amp;amp;amp;amp;amp;amp;amp;amp;amp;amp;amp;amp;amp;gt;&amp;amp;amp;amp;amp;amp;amp;amp;amp;amp;amp;amp;amp;amp;amp;lt;Edit&amp;amp;amp;amp;amp;amp;amp;amp;amp;amp;amp;amp;amp;amp;amp;gt;_layouts/15/SPListForm.aspx?PageType=6&amp;amp;amp;amp;amp;amp;amp;amp;amp;amp;amp;amp;amp;amp;amp;lt;/Edit&amp;amp;amp;amp;amp;amp;amp;amp;amp;amp;amp;amp;amp;amp;amp;gt;&amp;amp;amp;amp;amp;amp;amp;amp;amp;amp;amp;amp;amp;amp;amp;lt;EditComponentId&amp;amp;amp;amp;amp;amp;amp;amp;amp;amp;amp;amp;amp;amp;amp;gt;f1f1e90b-cca1-4f33-907b-359da5713bea&amp;amp;amp;amp;amp;amp;amp;amp;amp;amp;amp;amp;amp;amp;amp;lt;/EditComponentId&amp;amp;amp;amp;amp;amp;amp;amp;amp;amp;amp;amp;amp;amp;amp;gt;&amp;amp;amp;amp;amp;amp;amp;amp;amp;amp;amp;amp;amp;amp;amp;lt;EditComponentProperties&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lt;/EditComponentProperties&amp;amp;amp;amp;amp;amp;amp;amp;amp;amp;amp;amp;amp;amp;amp;gt;&amp;amp;amp;amp;amp;amp;amp;amp;amp;amp;amp;amp;amp;amp;amp;lt;DisplayFormTarget&amp;amp;amp;amp;amp;amp;amp;amp;amp;amp;amp;amp;amp;amp;amp;gt;NewWindow&amp;amp;amp;amp;amp;amp;amp;amp;amp;amp;amp;amp;amp;amp;amp;lt;/DisplayFormTarget&amp;amp;amp;amp;amp;amp;amp;amp;amp;amp;amp;amp;amp;amp;amp;gt;&amp;amp;amp;amp;amp;amp;amp;amp;amp;amp;amp;amp;amp;amp;amp;lt;EditFormTarget&amp;amp;amp;amp;amp;amp;amp;amp;amp;amp;amp;amp;amp;amp;amp;gt;NewWindow&amp;amp;amp;amp;amp;amp;amp;amp;amp;amp;amp;amp;amp;amp;amp;lt;/EditFormTarget&amp;amp;amp;amp;amp;amp;amp;amp;amp;amp;amp;amp;amp;amp;amp;gt;&amp;amp;amp;amp;amp;amp;amp;amp;amp;amp;amp;amp;amp;amp;amp;lt;NewFormTarget&amp;amp;amp;amp;amp;amp;amp;amp;amp;amp;amp;amp;amp;amp;amp;gt;NewWindow&amp;amp;amp;amp;amp;amp;amp;amp;amp;amp;amp;amp;amp;amp;amp;lt;/NewFormTarget&amp;amp;amp;amp;amp;amp;amp;amp;amp;amp;amp;amp;amp;amp;amp;gt;&amp;amp;amp;amp;amp;amp;amp;amp;amp;amp;amp;amp;amp;amp;amp;lt;/FormUrls&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AA1E3C5E-AE46-4D46-B8EA-FFE7D0286637}">
  <ds:schemaRefs>
    <ds:schemaRef ds:uri="http://schemas.microsoft.com/sharepoint/v3/contenttype/forms"/>
  </ds:schemaRefs>
</ds:datastoreItem>
</file>

<file path=customXml/itemProps2.xml><?xml version="1.0" encoding="utf-8"?>
<ds:datastoreItem xmlns:ds="http://schemas.openxmlformats.org/officeDocument/2006/customXml" ds:itemID="{AD7CCF01-89DC-43E7-B69D-10CB95250848}">
  <ds:schemaRefs>
    <ds:schemaRef ds:uri="http://schemas.microsoft.com/office/2006/metadata/properties"/>
    <ds:schemaRef ds:uri="http://schemas.microsoft.com/office/infopath/2007/PartnerControls"/>
    <ds:schemaRef ds:uri="606b7ae2-133c-4b9b-9d7d-bff6530e2cf2"/>
  </ds:schemaRefs>
</ds:datastoreItem>
</file>

<file path=customXml/itemProps3.xml><?xml version="1.0" encoding="utf-8"?>
<ds:datastoreItem xmlns:ds="http://schemas.openxmlformats.org/officeDocument/2006/customXml" ds:itemID="{205A9094-27A0-4AA1-84DD-E7EF5755C937}"/>
</file>

<file path=customXml/itemProps4.xml><?xml version="1.0" encoding="utf-8"?>
<ds:datastoreItem xmlns:ds="http://schemas.openxmlformats.org/officeDocument/2006/customXml" ds:itemID="{D2FCCAB3-6348-4EFE-86AB-70571FD67479}">
  <ds:schemaRefs>
    <ds:schemaRef ds:uri="http://schemas.microsoft.com/sharepoint/events"/>
  </ds:schemaRefs>
</ds:datastoreItem>
</file>

<file path=customXml/itemProps5.xml><?xml version="1.0" encoding="utf-8"?>
<ds:datastoreItem xmlns:ds="http://schemas.openxmlformats.org/officeDocument/2006/customXml" ds:itemID="{DB4E44DD-FC1D-4CB6-95D7-5115AA089504}"/>
</file>

<file path=docMetadata/LabelInfo.xml><?xml version="1.0" encoding="utf-8"?>
<clbl:labelList xmlns:clbl="http://schemas.microsoft.com/office/2020/mipLabelMetadata">
  <clbl:label id="{3f4a02f1-67db-4d37-b9e6-0ddfdce08012}" enabled="0" method="" siteId="{3f4a02f1-67db-4d37-b9e6-0ddfdce0801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7027</Characters>
  <Application>Microsoft Office Word</Application>
  <DocSecurity>0</DocSecurity>
  <Lines>180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Ubile Ogulu</dc:creator>
  <cp:keywords/>
  <dc:description/>
  <cp:lastModifiedBy>Rita Prasad</cp:lastModifiedBy>
  <cp:revision>2</cp:revision>
  <cp:lastPrinted>2025-08-21T18:09:00Z</cp:lastPrinted>
  <dcterms:created xsi:type="dcterms:W3CDTF">2025-08-21T20:53:00Z</dcterms:created>
  <dcterms:modified xsi:type="dcterms:W3CDTF">2025-08-21T20:53:00Z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mptive_x0020_Relief_x0020_Application_x0020_Type">
    <vt:lpwstr>16;#Dual|f036a4ba-d287-4796-9f0e-8d2b56cf86f3</vt:lpwstr>
  </property>
  <property fmtid="{D5CDD505-2E9C-101B-9397-08002B2CF9AE}" pid="3" name="Exemptive_x0020_Relief_x0020_Application_x0020_Document_x0020_Type">
    <vt:lpwstr>52;#Application|84b25fdc-a3a6-4392-9910-aecdfecd0808</vt:lpwstr>
  </property>
  <property fmtid="{D5CDD505-2E9C-101B-9397-08002B2CF9AE}" pid="4" name="Fiscal_x0020_Year">
    <vt:lpwstr>76;#F2025|e9174eff-a7b8-407c-bf99-a08d593ffa13</vt:lpwstr>
  </property>
  <property fmtid="{D5CDD505-2E9C-101B-9397-08002B2CF9AE}" pid="5" name="BC_x0020_Prime">
    <vt:lpwstr>17;#Yes|d6a467bb-d2f4-4ef6-a0df-07e3dc133ccc</vt:lpwstr>
  </property>
  <property fmtid="{D5CDD505-2E9C-101B-9397-08002B2CF9AE}" pid="6" name="Exemptive Relief Application Type">
    <vt:lpwstr>16;#Dual|f036a4ba-d287-4796-9f0e-8d2b56cf86f3</vt:lpwstr>
  </property>
  <property fmtid="{D5CDD505-2E9C-101B-9397-08002B2CF9AE}" pid="7" name="Exemptive Relief Application Document Type">
    <vt:lpwstr>52;#Application|84b25fdc-a3a6-4392-9910-aecdfecd0808</vt:lpwstr>
  </property>
  <property fmtid="{D5CDD505-2E9C-101B-9397-08002B2CF9AE}" pid="8" name="ContentTypeId">
    <vt:lpwstr>0x010100CCA6DF290ED7436096A8EE6DC92B49ACBA0007185C6F98F9944297D6F49FA5351056</vt:lpwstr>
  </property>
  <property fmtid="{D5CDD505-2E9C-101B-9397-08002B2CF9AE}" pid="9" name="Principal_x0020_Regulator">
    <vt:lpwstr>18;#British Columbia|947f9706-f9f0-4b75-9ef0-218dfaff4172</vt:lpwstr>
  </property>
  <property fmtid="{D5CDD505-2E9C-101B-9397-08002B2CF9AE}" pid="10" name="Novel_x0020_Topic_x0020_Template">
    <vt:lpwstr/>
  </property>
  <property fmtid="{D5CDD505-2E9C-101B-9397-08002B2CF9AE}" pid="11" name="BC Prime">
    <vt:lpwstr>17</vt:lpwstr>
  </property>
  <property fmtid="{D5CDD505-2E9C-101B-9397-08002B2CF9AE}" pid="12" name="Exemptive_x0020_Relief_x0020_Application_x0020_Status">
    <vt:lpwstr>58;#Open|0daba1de-4799-471b-868d-25c21aa27b71</vt:lpwstr>
  </property>
  <property fmtid="{D5CDD505-2E9C-101B-9397-08002B2CF9AE}" pid="13" name="_docset_NoMedatataSyncRequired">
    <vt:lpwstr>False</vt:lpwstr>
  </property>
  <property fmtid="{D5CDD505-2E9C-101B-9397-08002B2CF9AE}" pid="14" name="Confidential1">
    <vt:lpwstr>11;#No|c3045507-b7d7-429a-916d-bcf17186a780</vt:lpwstr>
  </property>
  <property fmtid="{D5CDD505-2E9C-101B-9397-08002B2CF9AE}" pid="15" name="Applicable_x0020_Laws">
    <vt:lpwstr>82;#71-101 The Multijurisdictional Disclosure System|24262c32-f8cc-4e34-a44c-630961cedc2c</vt:lpwstr>
  </property>
  <property fmtid="{D5CDD505-2E9C-101B-9397-08002B2CF9AE}" pid="16" name="Applicable Laws">
    <vt:lpwstr>82;#71-101 The Multijurisdictional Disclosure System|24262c32-f8cc-4e34-a44c-630961cedc2c</vt:lpwstr>
  </property>
  <property fmtid="{D5CDD505-2E9C-101B-9397-08002B2CF9AE}" pid="17" name="Obsolete">
    <vt:lpwstr>43</vt:lpwstr>
  </property>
  <property fmtid="{D5CDD505-2E9C-101B-9397-08002B2CF9AE}" pid="18" name="Principal Regulator">
    <vt:lpwstr>18</vt:lpwstr>
  </property>
  <property fmtid="{D5CDD505-2E9C-101B-9397-08002B2CF9AE}" pid="19" name="Exemptive Relief Application Status">
    <vt:lpwstr>58</vt:lpwstr>
  </property>
  <property fmtid="{D5CDD505-2E9C-101B-9397-08002B2CF9AE}" pid="20" name="Fiscal Year">
    <vt:lpwstr>76</vt:lpwstr>
  </property>
  <property fmtid="{D5CDD505-2E9C-101B-9397-08002B2CF9AE}" pid="21" name="_dlc_DocIdItemGuid">
    <vt:lpwstr>3da0ff90-f68a-427a-b690-1dfa5ffb37dc</vt:lpwstr>
  </property>
  <property fmtid="{D5CDD505-2E9C-101B-9397-08002B2CF9AE}" pid="22" name="Novel Topic Template">
    <vt:lpwstr/>
  </property>
</Properties>
</file>